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Сведения </w:t>
      </w:r>
    </w:p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осуществления федерального государственного контроля (надзора) в области частной охранной деятельности </w:t>
      </w:r>
      <w:r>
        <w:rPr>
          <w:rFonts w:eastAsia="Tahoma" w:cs="Noto Sans Devanagari" w:ascii="Times New Roman" w:hAnsi="Times New Roman"/>
          <w:b/>
          <w:bCs/>
          <w:color w:val="auto"/>
          <w:kern w:val="2"/>
          <w:sz w:val="28"/>
          <w:szCs w:val="28"/>
          <w:lang w:val="ru-RU" w:eastAsia="zh-CN" w:bidi="hi-IN"/>
        </w:rPr>
        <w:t xml:space="preserve">в </w:t>
      </w:r>
      <w:r>
        <w:rPr>
          <w:rFonts w:ascii="Times New Roman" w:hAnsi="Times New Roman"/>
          <w:b/>
          <w:bCs/>
          <w:sz w:val="28"/>
          <w:szCs w:val="28"/>
        </w:rPr>
        <w:t>202</w:t>
      </w:r>
      <w:r>
        <w:rPr>
          <w:rFonts w:ascii="Times New Roman" w:hAnsi="Times New Roman"/>
          <w:b/>
          <w:bCs/>
          <w:sz w:val="28"/>
          <w:szCs w:val="28"/>
        </w:rPr>
        <w:t>5</w:t>
      </w:r>
      <w:r>
        <w:rPr>
          <w:rFonts w:ascii="Times New Roman" w:hAnsi="Times New Roman"/>
          <w:b/>
          <w:bCs/>
          <w:sz w:val="28"/>
          <w:szCs w:val="28"/>
        </w:rPr>
        <w:t xml:space="preserve"> году. </w:t>
      </w:r>
    </w:p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Наиболее часто встречающиеся нарушения обязательных требований.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году сотрудниками подразделений лицензионно-разрешительной работы Управления Росгвардии по Ивановской области проведено </w:t>
      </w:r>
      <w:r>
        <w:rPr>
          <w:rFonts w:ascii="Times New Roman" w:hAnsi="Times New Roman"/>
          <w:sz w:val="28"/>
          <w:szCs w:val="28"/>
        </w:rPr>
        <w:t>32</w:t>
      </w:r>
      <w:r>
        <w:rPr>
          <w:rFonts w:ascii="Times New Roman" w:hAnsi="Times New Roman"/>
          <w:sz w:val="28"/>
          <w:szCs w:val="28"/>
        </w:rPr>
        <w:t xml:space="preserve"> плановых проверки, 1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внеплановых проверок частных охранных организаций в ходе которых выявлено </w:t>
      </w:r>
      <w:r>
        <w:rPr>
          <w:rFonts w:ascii="Times New Roman" w:hAnsi="Times New Roman"/>
          <w:sz w:val="28"/>
          <w:szCs w:val="28"/>
        </w:rPr>
        <w:t>50</w:t>
      </w:r>
      <w:r>
        <w:rPr>
          <w:rFonts w:ascii="Times New Roman" w:hAnsi="Times New Roman"/>
          <w:sz w:val="28"/>
          <w:szCs w:val="28"/>
        </w:rPr>
        <w:t xml:space="preserve"> нарушений требований законодательства, регламентирующего частную охранную деятельность, </w:t>
      </w:r>
      <w:r>
        <w:rPr>
          <w:rFonts w:ascii="Times New Roman" w:hAnsi="Times New Roman"/>
          <w:sz w:val="28"/>
          <w:szCs w:val="28"/>
        </w:rPr>
        <w:t>из них 8 грубых нарушений лицензионных требований</w:t>
      </w:r>
      <w:r>
        <w:rPr>
          <w:rFonts w:ascii="Times New Roman" w:hAnsi="Times New Roman"/>
          <w:sz w:val="28"/>
          <w:szCs w:val="28"/>
        </w:rPr>
        <w:t xml:space="preserve">. 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Основными нарушениями, выявляемыми в ходе проведения мероприятий федерального государственного контроля (надзора), являются: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одпункт «г» пункта 10 Положения о лицензировании частной охранной деятельности, утвержденн</w:t>
      </w:r>
      <w:r>
        <w:rPr>
          <w:rFonts w:ascii="Times New Roman" w:hAnsi="Times New Roman"/>
          <w:sz w:val="28"/>
          <w:szCs w:val="28"/>
        </w:rPr>
        <w:t>ого</w:t>
      </w:r>
      <w:r>
        <w:rPr>
          <w:rFonts w:ascii="Times New Roman" w:hAnsi="Times New Roman"/>
          <w:sz w:val="28"/>
          <w:szCs w:val="28"/>
        </w:rPr>
        <w:t xml:space="preserve"> Постановлением Правительства РФ от 23 июня 2011 г. № 498 - оказание охранных услуг работником частной охранной организации, не имеющим правового статуса частного охранника, либо частным охранником, не прошедшим периодическую проверку на пригодность к действиям в условиях, связанных с применением огнестрельного оружия и (или) специальных средств;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 Нарушение части 1 статьи 11.1 Закона РФ от 11 марта 1992 г. № 2487-1 «О частной детективной и охранной деятельности в Российской Федерации» - отсутствие у работника частной охранной организации, осуществляющего охранные услуги, удостоверения частного охранника;</w:t>
      </w:r>
    </w:p>
    <w:p>
      <w:pPr>
        <w:pStyle w:val="Normal"/>
        <w:bidi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 Нарушение части 3 статьи 16 Закона РФ от 11 марта 1992 г. № 2487-1           «О частной детективной и охранной деятельности в Российской Федерации - несвоевременное прохождение работником частной охранной организации, осуществляющим охранные услуги, периодической проверки на пригодность к действиям в условиях, связанных с применением огнестрельного оружия и (или) специальных средств;</w:t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 Нарушение пункта 5 части 3 статьи 12.1 Закона РФ от 11 марта 1992 г.          № 2487-1 «О частной детективной и охранной деятельности в Российской Федерации» - не предъявление работником частной охранной организации, осуществляющим охранные услуги, удостоверения частного охранника;</w:t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Нарушение части 9 статьи 12 Закона РФ от 11 марта 1992 г. № 2487-1 «О частной детективной и охранной деятельности в Российской Федерации» - </w:t>
      </w:r>
      <w:r>
        <w:rPr>
          <w:rFonts w:eastAsia="Tahoma" w:cs="Noto Sans Devanagari" w:ascii="Times New Roman" w:hAnsi="Times New Roman"/>
          <w:color w:val="auto"/>
          <w:kern w:val="2"/>
          <w:sz w:val="28"/>
          <w:szCs w:val="28"/>
          <w:lang w:val="ru-RU" w:eastAsia="zh-CN" w:bidi="hi-IN"/>
        </w:rPr>
        <w:t>несвоевременное прохождение работником частной охранной организации</w:t>
      </w:r>
      <w:r>
        <w:rPr>
          <w:rFonts w:ascii="Times New Roman" w:hAnsi="Times New Roman"/>
          <w:sz w:val="28"/>
          <w:szCs w:val="28"/>
        </w:rPr>
        <w:t xml:space="preserve"> ежегодного медицинского освидетельствования на наличие или отсутствие заболеваний, препятствующих исполнению обязанностей частного охранника;</w:t>
      </w:r>
    </w:p>
    <w:p>
      <w:pPr>
        <w:pStyle w:val="Normal"/>
        <w:bidi w:val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 Нарушение части 2 статьи 19 Закона РФ от 11 марта 1992 г. № 2487-1           «О частной детективной и охранной деятельности в Российской Федерации» - отсутствие договора страхования на случай гибели, получения увечья или иного повреждения здоровья в связи с оказанием ими охранных услуг на работников частной охранной организации.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102</TotalTime>
  <Application>LibreOffice/25.2.3.2$Linux_X86_64 LibreOffice_project/520$Build-2</Application>
  <AppVersion>15.0000</AppVersion>
  <Pages>1</Pages>
  <Words>353</Words>
  <Characters>2388</Characters>
  <CharactersWithSpaces>2770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2024-01-11T16:21:26Z</dcterms:created>
  <dc:creator/>
  <dc:description/>
  <dc:language>ru-RU</dc:language>
  <cp:lastModifiedBy/>
  <cp:lastPrinted>2025-01-14T12:02:54Z</cp:lastPrinted>
  <dcterms:modified xsi:type="dcterms:W3CDTF">2026-01-27T10:56:17Z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