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embeddings/oleObject1.bin" ContentType="application/vnd.openxmlformats-officedocument.oleObject"/>
  <Override PartName="/word/media/image1.wmf" ContentType="image/x-wm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252" w:leader="none"/>
        </w:tabs>
        <w:jc w:val="both"/>
        <w:rPr>
          <w:b/>
          <w:bCs/>
          <w:sz w:val="28"/>
          <w:szCs w:val="28"/>
          <w:u w:val="single"/>
        </w:rPr>
      </w:pPr>
      <w:r>
        <w:rPr>
          <w:b/>
          <w:bCs/>
          <w:sz w:val="28"/>
          <w:szCs w:val="28"/>
          <w:u w:val="single"/>
        </w:rPr>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252" w:leader="none"/>
        </w:tabs>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252" w:leader="none"/>
        </w:tabs>
        <w:jc w:val="center"/>
        <w:rPr>
          <w:b/>
          <w:bCs/>
          <w:sz w:val="28"/>
          <w:szCs w:val="28"/>
        </w:rPr>
      </w:pPr>
      <w:r>
        <w:rPr>
          <w:b/>
          <w:bCs/>
          <w:sz w:val="28"/>
          <w:szCs w:val="28"/>
        </w:rPr>
        <w:t>Управление Росгвардии по Ивановской области</w:t>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0" w:leader="none"/>
        </w:tabs>
        <w:jc w:val="both"/>
        <w:rPr>
          <w:b/>
          <w:sz w:val="28"/>
          <w:szCs w:val="28"/>
        </w:rPr>
      </w:pPr>
      <w:r>
        <w:rPr>
          <w:b/>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0" w:leader="none"/>
        </w:tabs>
        <w:jc w:val="both"/>
        <w:rPr>
          <w:b/>
          <w:sz w:val="28"/>
          <w:szCs w:val="28"/>
        </w:rPr>
      </w:pPr>
      <w:r>
        <w:rPr>
          <w:b/>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0" w:leader="none"/>
        </w:tabs>
        <w:jc w:val="both"/>
        <w:rPr>
          <w:b/>
          <w:sz w:val="28"/>
          <w:szCs w:val="28"/>
        </w:rPr>
      </w:pPr>
      <w:r>
        <w:rPr>
          <w:b/>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0" w:leader="none"/>
        </w:tabs>
        <w:jc w:val="center"/>
        <w:rPr/>
      </w:pPr>
      <w:r>
        <w:rPr/>
        <w:object>
          <v:shapetype id="_x0000_tole_rId2" coordsize="21600,21600" o:spt="ole_rId2"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2" type="_x0000_tole_rId2" style="width:253.5pt;height:232pt;mso-wrap-distance-right:0pt" filled="t" fillcolor="#FFFFFF" o:ole="">
            <v:imagedata r:id="rId3" o:title=""/>
          </v:shape>
          <o:OLEObject Type="Embed" ProgID="CorelDraw.Graphic.16" ShapeID="ole_rId2" DrawAspect="Content" ObjectID="_187930654" r:id="rId2"/>
        </w:object>
      </w:r>
    </w:p>
    <w:p>
      <w:pPr>
        <w:pStyle w:val="Normal"/>
        <w:pBdr>
          <w:top w:val="thinThickMediumGap" w:sz="24" w:space="1" w:color="000000"/>
          <w:left w:val="thinThickMediumGap" w:sz="24" w:space="7" w:color="000000"/>
          <w:bottom w:val="thickThinMediumGap" w:sz="24" w:space="0" w:color="000000"/>
          <w:right w:val="thickThinMediumGap" w:sz="24" w:space="4" w:color="000000"/>
        </w:pBdr>
        <w:tabs>
          <w:tab w:val="clear" w:pos="708"/>
          <w:tab w:val="left" w:pos="0" w:leader="none"/>
        </w:tabs>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pPr>
      <w:r>
        <w:rPr>
          <w:bCs/>
          <w:sz w:val="28"/>
          <w:szCs w:val="28"/>
          <w:lang w:eastAsia="ar-SA"/>
        </w:rPr>
        <w:t>М</w:t>
      </w:r>
      <w:r>
        <w:rPr>
          <w:sz w:val="28"/>
          <w:szCs w:val="28"/>
          <w:lang w:eastAsia="ar-SA"/>
        </w:rPr>
        <w:t xml:space="preserve">етодические материалы по подготовке подконтрольных субъектов </w:t>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pPr>
      <w:r>
        <w:rPr>
          <w:sz w:val="28"/>
          <w:szCs w:val="28"/>
          <w:lang w:eastAsia="ar-SA"/>
        </w:rPr>
        <w:t>к плановым проверкам на 2025 год</w:t>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Cs/>
          <w:sz w:val="28"/>
          <w:szCs w:val="28"/>
        </w:rPr>
      </w:pPr>
      <w:r>
        <w:rPr>
          <w:sz w:val="28"/>
          <w:szCs w:val="28"/>
          <w:lang w:eastAsia="ar-SA"/>
        </w:rPr>
        <w:t xml:space="preserve"> </w:t>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Cs/>
          <w:sz w:val="28"/>
          <w:szCs w:val="28"/>
        </w:rPr>
      </w:pPr>
      <w:r>
        <w:rPr>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Cs/>
          <w:sz w:val="28"/>
          <w:szCs w:val="28"/>
        </w:rPr>
      </w:pPr>
      <w:r>
        <w:rPr>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Cs/>
          <w:sz w:val="28"/>
          <w:szCs w:val="28"/>
        </w:rPr>
      </w:pPr>
      <w:r>
        <w:rPr>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rPr>
          <w:bCs/>
          <w:sz w:val="28"/>
          <w:szCs w:val="28"/>
        </w:rPr>
      </w:pPr>
      <w:r>
        <w:rPr>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center"/>
        <w:rPr>
          <w:b/>
          <w:bCs/>
          <w:sz w:val="28"/>
          <w:szCs w:val="28"/>
        </w:rPr>
      </w:pPr>
      <w:r>
        <w:rPr>
          <w:b/>
          <w:bCs/>
          <w:sz w:val="28"/>
          <w:szCs w:val="28"/>
        </w:rPr>
        <w:t>«</w:t>
      </w:r>
      <w:r>
        <w:rPr>
          <w:b/>
          <w:sz w:val="28"/>
          <w:szCs w:val="28"/>
          <w:lang w:eastAsia="en-US"/>
        </w:rPr>
        <w:t>Полномочия должностных лиц Росгвардии по осуществлению федерального государственного контроля (надзора) за деятельностью подразделений охраны юридических лиц с особыми уставными задачами и подразделений ведомственной охраны</w:t>
      </w:r>
      <w:r>
        <w:rPr>
          <w:bCs/>
          <w:sz w:val="28"/>
          <w:szCs w:val="28"/>
        </w:rPr>
        <w:t>».</w:t>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jc w:val="both"/>
        <w:rPr>
          <w:b/>
          <w:bCs/>
          <w:sz w:val="28"/>
          <w:szCs w:val="28"/>
        </w:rPr>
      </w:pPr>
      <w:r>
        <w:rPr>
          <w:b/>
          <w:bCs/>
          <w:sz w:val="28"/>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spacing w:lineRule="auto" w:line="240"/>
        <w:jc w:val="center"/>
        <w:rPr>
          <w:b/>
          <w:bCs/>
          <w:sz w:val="24"/>
          <w:szCs w:val="28"/>
        </w:rPr>
      </w:pPr>
      <w:r>
        <w:rPr>
          <w:b/>
          <w:bCs/>
          <w:sz w:val="24"/>
          <w:szCs w:val="28"/>
        </w:rPr>
      </w:r>
    </w:p>
    <w:p>
      <w:pPr>
        <w:pStyle w:val="Normal"/>
        <w:pBdr>
          <w:top w:val="thinThickMediumGap" w:sz="24" w:space="1" w:color="000000"/>
          <w:left w:val="thinThickMediumGap" w:sz="24" w:space="7" w:color="000000"/>
          <w:bottom w:val="thickThinMediumGap" w:sz="24" w:space="0" w:color="000000"/>
          <w:right w:val="thickThinMediumGap" w:sz="24" w:space="4" w:color="000000"/>
        </w:pBdr>
        <w:spacing w:lineRule="auto" w:line="240"/>
        <w:jc w:val="center"/>
        <w:rPr>
          <w:b/>
          <w:bCs/>
          <w:sz w:val="24"/>
          <w:szCs w:val="28"/>
        </w:rPr>
      </w:pPr>
      <w:r>
        <w:rPr>
          <w:b/>
          <w:bCs/>
          <w:sz w:val="24"/>
          <w:szCs w:val="28"/>
        </w:rPr>
        <w:t>г. Иваново</w:t>
      </w:r>
    </w:p>
    <w:p>
      <w:pPr>
        <w:pStyle w:val="Normal"/>
        <w:pBdr>
          <w:top w:val="thinThickMediumGap" w:sz="24" w:space="1" w:color="000000"/>
          <w:left w:val="thinThickMediumGap" w:sz="24" w:space="7" w:color="000000"/>
          <w:bottom w:val="thickThinMediumGap" w:sz="24" w:space="0" w:color="000000"/>
          <w:right w:val="thickThinMediumGap" w:sz="24" w:space="4" w:color="000000"/>
        </w:pBdr>
        <w:spacing w:lineRule="auto" w:line="240"/>
        <w:jc w:val="center"/>
        <w:rPr>
          <w:b/>
          <w:bCs/>
          <w:sz w:val="24"/>
          <w:szCs w:val="28"/>
        </w:rPr>
      </w:pPr>
      <w:r>
        <w:rPr>
          <w:b/>
          <w:bCs/>
          <w:sz w:val="24"/>
          <w:szCs w:val="28"/>
        </w:rPr>
      </w:r>
    </w:p>
    <w:p>
      <w:pPr>
        <w:pStyle w:val="Normal"/>
        <w:spacing w:lineRule="auto" w:line="216"/>
        <w:ind w:left="4395" w:hanging="0"/>
        <w:rPr>
          <w:sz w:val="28"/>
          <w:szCs w:val="28"/>
        </w:rPr>
      </w:pPr>
      <w:r>
        <w:rPr>
          <w:sz w:val="28"/>
          <w:szCs w:val="28"/>
        </w:rPr>
      </w:r>
    </w:p>
    <w:p>
      <w:pPr>
        <w:pStyle w:val="Normal"/>
        <w:tabs>
          <w:tab w:val="clear" w:pos="708"/>
          <w:tab w:val="left" w:pos="709" w:leader="none"/>
        </w:tabs>
        <w:ind w:left="5103" w:hanging="0"/>
        <w:jc w:val="both"/>
        <w:rPr>
          <w:sz w:val="28"/>
          <w:szCs w:val="28"/>
        </w:rPr>
      </w:pPr>
      <w:r>
        <w:rPr>
          <w:sz w:val="28"/>
          <w:szCs w:val="28"/>
        </w:rPr>
      </w:r>
    </w:p>
    <w:p>
      <w:pPr>
        <w:pStyle w:val="Normal"/>
        <w:tabs>
          <w:tab w:val="clear" w:pos="708"/>
          <w:tab w:val="left" w:pos="709" w:leader="none"/>
        </w:tabs>
        <w:ind w:left="5103" w:hanging="0"/>
        <w:jc w:val="both"/>
        <w:rPr>
          <w:sz w:val="28"/>
          <w:szCs w:val="28"/>
        </w:rPr>
      </w:pPr>
      <w:r>
        <w:rPr>
          <w:sz w:val="28"/>
          <w:szCs w:val="28"/>
        </w:rPr>
      </w:r>
    </w:p>
    <w:p>
      <w:pPr>
        <w:pStyle w:val="Normal"/>
        <w:jc w:val="center"/>
        <w:rPr>
          <w:sz w:val="28"/>
          <w:szCs w:val="28"/>
        </w:rPr>
      </w:pPr>
      <w:r>
        <w:rPr>
          <w:sz w:val="28"/>
          <w:szCs w:val="28"/>
        </w:rPr>
      </w:r>
    </w:p>
    <w:p>
      <w:pPr>
        <w:pStyle w:val="Normal"/>
        <w:jc w:val="center"/>
        <w:rPr>
          <w:sz w:val="28"/>
          <w:szCs w:val="28"/>
        </w:rPr>
      </w:pPr>
      <w:r>
        <w:rPr>
          <w:sz w:val="28"/>
          <w:szCs w:val="28"/>
        </w:rPr>
      </w:r>
    </w:p>
    <w:tbl>
      <w:tblPr>
        <w:tblW w:w="11058" w:type="dxa"/>
        <w:jc w:val="left"/>
        <w:tblInd w:w="-318" w:type="dxa"/>
        <w:tblLayout w:type="fixed"/>
        <w:tblCellMar>
          <w:top w:w="0" w:type="dxa"/>
          <w:left w:w="108" w:type="dxa"/>
          <w:bottom w:w="0" w:type="dxa"/>
          <w:right w:w="108" w:type="dxa"/>
        </w:tblCellMar>
        <w:tblLook w:val="01e0" w:noHBand="0" w:noVBand="0" w:firstColumn="1" w:lastRow="1" w:lastColumn="1" w:firstRow="1"/>
      </w:tblPr>
      <w:tblGrid>
        <w:gridCol w:w="11058"/>
      </w:tblGrid>
      <w:tr>
        <w:trPr>
          <w:trHeight w:val="269" w:hRule="atLeast"/>
        </w:trPr>
        <w:tc>
          <w:tcPr>
            <w:tcW w:w="11058" w:type="dxa"/>
            <w:tcBorders>
              <w:top w:val="single" w:sz="6" w:space="0" w:color="000000"/>
              <w:left w:val="single" w:sz="6" w:space="0" w:color="000000"/>
              <w:bottom w:val="single" w:sz="6" w:space="0" w:color="000000"/>
              <w:right w:val="single" w:sz="6" w:space="0" w:color="000000"/>
            </w:tcBorders>
            <w:shd w:fill="auto" w:val="clear"/>
          </w:tcPr>
          <w:p>
            <w:pPr>
              <w:pStyle w:val="ListParagraph"/>
              <w:widowControl w:val="false"/>
              <w:numPr>
                <w:ilvl w:val="0"/>
                <w:numId w:val="0"/>
              </w:numPr>
              <w:ind w:left="1137" w:right="175" w:hanging="0"/>
              <w:jc w:val="center"/>
              <w:rPr>
                <w:sz w:val="28"/>
                <w:szCs w:val="28"/>
                <w:u w:val="single"/>
              </w:rPr>
            </w:pPr>
            <w:r>
              <w:rPr>
                <w:b/>
                <w:sz w:val="28"/>
                <w:szCs w:val="28"/>
                <w:u w:val="single"/>
              </w:rPr>
              <w:t>Список нормативно-правовых актов за деятельностью подразделений охраны юридических лиц с особыми уставными задачами, подразделений ведомственной охраны</w:t>
            </w:r>
          </w:p>
          <w:p>
            <w:pPr>
              <w:pStyle w:val="ListParagraph"/>
              <w:widowControl w:val="false"/>
              <w:numPr>
                <w:ilvl w:val="0"/>
                <w:numId w:val="0"/>
              </w:numPr>
              <w:ind w:left="1137" w:right="175" w:hanging="0"/>
              <w:jc w:val="center"/>
              <w:rPr>
                <w:b/>
                <w:sz w:val="24"/>
                <w:szCs w:val="24"/>
                <w:highlight w:val="none"/>
                <w:shd w:fill="81D41A" w:val="clear"/>
              </w:rPr>
            </w:pPr>
            <w:r>
              <w:rPr>
                <w:b/>
                <w:sz w:val="24"/>
                <w:szCs w:val="24"/>
                <w:shd w:fill="81D41A" w:val="clear"/>
              </w:rPr>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Федеральный закон от 13 декабря 1996 г. № 150-ФЗ «Об оружии»;</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Федеральный закон от 25 июля 1998 г. № 128-ФЗ «О государственной дактилоскопической регистрации в Российской Федерации»;</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Федеральный закон от 14 апреля 1999 г. № 77-ФЗ «О ведомственной охране»;</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Федеральный закон от 17 июля 1999 г. № 176-ФЗ «О почтовой связи»;</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Федеральный закон от 10 июля 2002 г. № 86-ФЗ «О Центральном банке Российской Федерации (Банке России)»;</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8 июня 2018 N 660 «Об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Российской Федерации»;</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12 июля 2000 г. № 514 «Об организации ведомственной охраны»;</w:t>
            </w:r>
          </w:p>
          <w:p>
            <w:pPr>
              <w:pStyle w:val="Normal"/>
              <w:widowControl w:val="false"/>
              <w:numPr>
                <w:ilvl w:val="0"/>
                <w:numId w:val="2"/>
              </w:numPr>
              <w:tabs>
                <w:tab w:val="clear" w:pos="708"/>
                <w:tab w:val="left" w:pos="850"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30 декабря 2000 г. № 1029 «О ведомственной охране Министерства финансов Российской Федерации»;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27 июня 2009 г. № 540 «Об утверждении Положения о ведомственной охране Федерального агентства железнодорожного транспорта»;</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strike w:val="false"/>
                <w:dstrike w:val="false"/>
                <w:color w:val="000000"/>
                <w:sz w:val="24"/>
                <w:szCs w:val="24"/>
                <w:u w:val="none"/>
                <w:shd w:fill="auto" w:val="clear"/>
                <w:lang w:eastAsia="ru-RU" w:bidi="ru-RU"/>
              </w:rPr>
              <w:t>Постановление Правительства Российской Федерации от 22 апреля 1997 г. № 460 «О мерах по обеспечению юридических лиц с особыми уставными задачами боевым ручным стрелковым оружием»;</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15 октября 1997 г. № 1314 «Об утверждении правил оборота боевого ручного стрелкового и иного оружия, боеприпасов и патронов к нему, а также холодного оружия в государственных военизированных организациях»;</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30 декабря 1997 г. № 1436 «О специальных средствах и огнестрельном оружии, используемых ведомственной охраной»;</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strike w:val="false"/>
                <w:dstrike w:val="false"/>
                <w:color w:val="000000"/>
                <w:sz w:val="24"/>
                <w:szCs w:val="24"/>
                <w:u w:val="none"/>
                <w:shd w:fill="auto" w:val="clear"/>
                <w:lang w:eastAsia="ru-RU" w:bidi="ru-RU"/>
              </w:rPr>
              <w:t>Постановление Правительства Российской Федерации от 26 января 2005 г. № 38 «Об обеспечении служебным и гражданским оружием, патронами к нему и специальными средствами работников организаций федеральной почтовой связи»;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21 июля 1998 г. № 814 «О мерах по регулированию оборота гражданского и служебного оружия и патронов к нему на территории Российской Федерации»;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strike w:val="false"/>
                <w:dstrike w:val="false"/>
                <w:color w:val="000000"/>
                <w:sz w:val="24"/>
                <w:szCs w:val="24"/>
                <w:u w:val="none"/>
                <w:shd w:fill="auto" w:val="clear"/>
                <w:lang w:eastAsia="ru-RU" w:bidi="ru-RU"/>
              </w:rPr>
              <w:t>Постановление Правительства Российской Федерации от 10 февраля 2017 г. № 164                      «О порядке определения тарифов на оказываемые услуги по охране объектов, находящихся в ведении федеральных государственных органов, охраняемых военизированными и сторожевыми подразделениями организаций, подведомственных Росгвардии, и ведомственной охраной федеральных органов исполнительной власти»;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color w:val="000000"/>
                <w:sz w:val="24"/>
                <w:szCs w:val="24"/>
                <w:u w:val="none"/>
                <w:shd w:fill="auto" w:val="clear"/>
                <w:lang w:eastAsia="ru-RU" w:bidi="ru-RU"/>
              </w:rPr>
              <w:t>Постановление Правительства Российской Федерации от 26 января 2000 г. № 73 «Об утверждении Правил приобретения, хранения, учета, ремонта и уничтожения специальных средств, используемых работниками ведомственной охраны федеральных органов исполнительной власти, имеющих право на ее создание»;</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pPr>
            <w:r>
              <w:rPr>
                <w:rStyle w:val="Style19"/>
                <w:rFonts w:eastAsia="Times New Roman" w:cs="Times New Roman"/>
                <w:b w:val="false"/>
                <w:bCs w:val="false"/>
                <w:i w:val="false"/>
                <w:iCs w:val="false"/>
                <w:strike w:val="false"/>
                <w:dstrike w:val="false"/>
                <w:color w:val="000000"/>
                <w:sz w:val="24"/>
                <w:szCs w:val="24"/>
                <w:u w:val="none"/>
                <w:shd w:fill="auto" w:val="clear"/>
                <w:lang w:eastAsia="ru-RU" w:bidi="ru-RU"/>
              </w:rPr>
              <w:t>Постановление Правительства Российской Федерации от 31 мая 2024 г. N 745 «Об утверждении Правил оказания услуг специальной почтовой связи»;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pPr>
            <w:r>
              <w:rPr>
                <w:rStyle w:val="Style19"/>
                <w:rFonts w:eastAsia="Times New Roman" w:cs="Times New Roman"/>
                <w:b w:val="false"/>
                <w:bCs w:val="false"/>
                <w:i w:val="false"/>
                <w:iCs w:val="false"/>
                <w:strike w:val="false"/>
                <w:dstrike w:val="false"/>
                <w:color w:val="000000"/>
                <w:sz w:val="24"/>
                <w:szCs w:val="24"/>
                <w:u w:val="none"/>
                <w:shd w:fill="auto" w:val="clear"/>
                <w:lang w:eastAsia="ru-RU" w:bidi="ru-RU"/>
              </w:rPr>
              <w:t>Приказ МВД России от 12 апреля 1999 г. № 288 «О мерах по реализации постановления Правительства Российской Федерации от 21 июля 1998 г. № 814»;</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pPr>
            <w:r>
              <w:rPr>
                <w:rFonts w:eastAsia="Times New Roman" w:cs="Times New Roman"/>
                <w:strike w:val="false"/>
                <w:dstrike w:val="false"/>
                <w:color w:val="000000"/>
                <w:sz w:val="24"/>
                <w:szCs w:val="24"/>
                <w:u w:val="none"/>
                <w:shd w:fill="auto" w:val="clear"/>
                <w:lang w:eastAsia="ru-RU" w:bidi="ru-RU"/>
              </w:rPr>
              <w:t xml:space="preserve">Приказ </w:t>
            </w:r>
            <w:r>
              <w:rPr>
                <w:rFonts w:eastAsia="Times New Roman" w:cs="Times New Roman"/>
                <w:strike w:val="false"/>
                <w:dstrike w:val="false"/>
                <w:color w:val="000000"/>
                <w:sz w:val="24"/>
                <w:szCs w:val="24"/>
                <w:u w:val="none"/>
                <w:shd w:fill="auto" w:val="clear"/>
                <w:lang w:val="ru-RU" w:eastAsia="zh-CN" w:bidi="ar-SA"/>
              </w:rPr>
              <w:t>Росгвардии</w:t>
            </w:r>
            <w:r>
              <w:rPr>
                <w:rFonts w:eastAsia="Times New Roman" w:cs="Times New Roman"/>
                <w:strike w:val="false"/>
                <w:dstrike w:val="false"/>
                <w:color w:val="000000"/>
                <w:sz w:val="24"/>
                <w:szCs w:val="24"/>
                <w:u w:val="none"/>
                <w:shd w:fill="auto" w:val="clear"/>
                <w:lang w:eastAsia="ru-RU" w:bidi="ru-RU"/>
              </w:rPr>
              <w:t xml:space="preserve"> от 25 ноября 2019 г. № 387 «Об утверждении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 связанных с применением огнестрельного оружия и специальных средств»</w:t>
            </w:r>
            <w:r>
              <w:rPr>
                <w:rFonts w:eastAsia="Times New Roman" w:cs="Times New Roman"/>
                <w:b w:val="false"/>
                <w:bCs w:val="false"/>
                <w:strike w:val="false"/>
                <w:dstrike w:val="false"/>
                <w:color w:val="000000"/>
                <w:sz w:val="24"/>
                <w:szCs w:val="24"/>
                <w:u w:val="none"/>
                <w:shd w:fill="auto" w:val="clear"/>
                <w:lang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pPr>
            <w:hyperlink r:id="rId4">
              <w:r>
                <w:rPr>
                  <w:rFonts w:eastAsia="Times New Roman" w:cs="Times New Roman"/>
                  <w:b w:val="false"/>
                  <w:bCs w:val="false"/>
                  <w:strike w:val="false"/>
                  <w:dstrike w:val="false"/>
                  <w:color w:val="000000"/>
                  <w:sz w:val="24"/>
                  <w:szCs w:val="24"/>
                  <w:u w:val="none"/>
                  <w:shd w:fill="auto" w:val="clear"/>
                  <w:lang w:val="zxx" w:eastAsia="zxx" w:bidi="ru-RU"/>
                </w:rPr>
                <w:t xml:space="preserve">Приказ Минфина Россий от 25 сентября 2015 г. N 151н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Об утверждении Инструкции о порядке учета, хранения, выдачи, использования и транспортировки ведомственной охраной Министерства финансов Российской Федерации служебного огнестрельного и боевого ручного стрелкового оружия, патронов к нему и специальных средств</w:t>
              </w:r>
            </w:hyperlink>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pPr>
            <w:r>
              <w:rPr>
                <w:rFonts w:eastAsia="Times New Roman" w:cs="Times New Roman"/>
                <w:b w:val="false"/>
                <w:bCs w:val="false"/>
                <w:strike w:val="false"/>
                <w:dstrike w:val="false"/>
                <w:color w:val="000000"/>
                <w:sz w:val="24"/>
                <w:szCs w:val="24"/>
                <w:u w:val="none"/>
                <w:shd w:fill="auto" w:val="clear"/>
                <w:lang w:val="zxx" w:eastAsia="zxx" w:bidi="ru-RU"/>
              </w:rPr>
              <w:t xml:space="preserve">Приказ Минздрава России от 30 апреля 2019 г. № 266н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 xml:space="preserve">Об утверждении Порядка прохождения работниками ведомственной охраны ежегодного медицинского осмотра, предусмотренного статьей 6 Федерального закона от 14 апреля 1999 года №77-ФЗ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О ведомственной охране</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val="zxx" w:eastAsia="zxx" w:bidi="ru-RU"/>
              </w:rPr>
              <w:t xml:space="preserve">Приказ Минздрава России от 26 ноября 2021 г. № 1104н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Об утверждении Порядка проведения медицинского освидетельствования на наличие медицинских противопоказаний к владению оружием, в том числе внеочередного, и порядка оформления медицинских заключений по его результатам, форм медицинского заключения об отсутствии медицинских противопоказаний к владению оружием и медицинского заключения об отсутствии в организме наркотических средств, психотропных веществ и их метаболитов</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val="zxx" w:eastAsia="zxx" w:bidi="ru-RU"/>
              </w:rPr>
              <w:t xml:space="preserve">Приказ Росжелдора от 21 сентября 2010 г. N 400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Об утверждении Порядка организации деятельности ведомственной охраны Федерального агенства железнодорожного транспорта</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val="zxx" w:eastAsia="zxx" w:bidi="ru-RU"/>
              </w:rPr>
              <w:t xml:space="preserve">Приказ Росжелдора РФ от 24 мая 2011 г. N 232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 xml:space="preserve">Об утверждении Инструкции о порядке учета, хранения, выдачи, использования и транспортировки федеральным государственным предприятием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Ведомственная охрана железнодорожного транспорта Российской Федерации</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 xml:space="preserve">» </w:t>
            </w:r>
            <w:r>
              <w:rPr>
                <w:rFonts w:eastAsia="Times New Roman" w:cs="Times New Roman"/>
                <w:b w:val="false"/>
                <w:bCs w:val="false"/>
                <w:strike w:val="false"/>
                <w:dstrike w:val="false"/>
                <w:color w:val="000000"/>
                <w:sz w:val="24"/>
                <w:szCs w:val="24"/>
                <w:u w:val="none"/>
                <w:shd w:fill="auto" w:val="clear"/>
                <w:lang w:val="zxx" w:eastAsia="zxx" w:bidi="ru-RU"/>
              </w:rPr>
              <w:t xml:space="preserve">специальных средств, боевого ручного стрелкового и служебного оружия и патронов к нему, а также Перечня работников федерального государственного предприятия </w:t>
            </w:r>
            <w:r>
              <w:rPr>
                <w:rFonts w:eastAsia="Times New Roman" w:cs="Times New Roman"/>
                <w:b w:val="false"/>
                <w:b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Ведомственная охрана железнодорожного транспорта Российской Федерации</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r>
              <w:rPr>
                <w:rFonts w:eastAsia="Times New Roman" w:cs="Times New Roman"/>
                <w:b w:val="false"/>
                <w:bCs w:val="false"/>
                <w:strike w:val="false"/>
                <w:dstrike w:val="false"/>
                <w:color w:val="000000"/>
                <w:sz w:val="24"/>
                <w:szCs w:val="24"/>
                <w:u w:val="none"/>
                <w:shd w:fill="auto" w:val="clear"/>
                <w:lang w:val="zxx" w:eastAsia="zxx" w:bidi="ru-RU"/>
              </w:rPr>
              <w:t xml:space="preserve"> подлежащих обеспечению огнестрельным оружием, патронами к нему и специальными средствами</w:t>
            </w:r>
            <w:r>
              <w:rPr>
                <w:rStyle w:val="Style19"/>
                <w:rFonts w:eastAsia="Times New Roman" w:cs="Times New Roman"/>
                <w:b w:val="false"/>
                <w:bCs w:val="false"/>
                <w:i w:val="false"/>
                <w:iCs w:val="false"/>
                <w:strike w:val="false"/>
                <w:dstrike w:val="false"/>
                <w:color w:val="000000"/>
                <w:sz w:val="24"/>
                <w:szCs w:val="24"/>
                <w:u w:val="none"/>
                <w:shd w:fill="auto" w:val="clear"/>
                <w:lang w:val="zxx" w:eastAsia="ru-RU" w:bidi="ru-RU"/>
              </w:rPr>
              <w:t>»;</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eastAsia="ru-RU" w:bidi="ru-RU"/>
              </w:rPr>
              <w:t xml:space="preserve">Приказ </w:t>
            </w:r>
            <w:r>
              <w:rPr>
                <w:rFonts w:eastAsia="Times New Roman" w:cs="Times New Roman"/>
                <w:b w:val="false"/>
                <w:bCs w:val="false"/>
                <w:strike w:val="false"/>
                <w:dstrike w:val="false"/>
                <w:color w:val="000000"/>
                <w:sz w:val="24"/>
                <w:szCs w:val="24"/>
                <w:u w:val="none"/>
                <w:shd w:fill="auto" w:val="clear"/>
                <w:lang w:val="ru-RU" w:eastAsia="zh-CN" w:bidi="ar-SA"/>
              </w:rPr>
              <w:t>Росгвардии</w:t>
            </w:r>
            <w:r>
              <w:rPr>
                <w:rFonts w:eastAsia="Times New Roman" w:cs="Times New Roman"/>
                <w:b w:val="false"/>
                <w:bCs w:val="false"/>
                <w:strike w:val="false"/>
                <w:dstrike w:val="false"/>
                <w:color w:val="000000"/>
                <w:sz w:val="24"/>
                <w:szCs w:val="24"/>
                <w:u w:val="none"/>
                <w:shd w:fill="auto" w:val="clear"/>
                <w:lang w:eastAsia="ru-RU" w:bidi="ru-RU"/>
              </w:rPr>
              <w:t xml:space="preserve"> от </w:t>
            </w:r>
            <w:r>
              <w:rPr>
                <w:rFonts w:eastAsia="Times New Roman" w:cs="Times New Roman"/>
                <w:b w:val="false"/>
                <w:bCs w:val="false"/>
                <w:strike w:val="false"/>
                <w:dstrike w:val="false"/>
                <w:color w:val="000000"/>
                <w:kern w:val="0"/>
                <w:sz w:val="24"/>
                <w:szCs w:val="24"/>
                <w:u w:val="none"/>
                <w:shd w:fill="auto" w:val="clear"/>
                <w:lang w:val="ru-RU" w:eastAsia="ru-RU" w:bidi="ru-RU"/>
              </w:rPr>
              <w:t>1</w:t>
            </w:r>
            <w:r>
              <w:rPr>
                <w:rFonts w:eastAsia="Times New Roman" w:cs="Times New Roman"/>
                <w:b w:val="false"/>
                <w:bCs w:val="false"/>
                <w:strike w:val="false"/>
                <w:dstrike w:val="false"/>
                <w:color w:val="000000"/>
                <w:sz w:val="24"/>
                <w:szCs w:val="24"/>
                <w:u w:val="none"/>
                <w:shd w:fill="auto" w:val="clear"/>
                <w:lang w:eastAsia="ru-RU" w:bidi="ru-RU"/>
              </w:rPr>
              <w:t xml:space="preserve"> марта 2021 г. № 68 «Об утверждении содержания программы подготовки работников юридических лиц с особыми уставными задачами на пригодность к действиям в условиях, связанных с применением огнестрельного оружия»;</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eastAsia="ru-RU" w:bidi="ru-RU"/>
              </w:rPr>
              <w:t>Приказ Росгвардии от 31 мая 2023 г. N 180 «Об утверждении видов, типов и моделей боевого ручного стрелкового, служебного, гражданского оружия и патронов к нему, специальных средств и норм обеспечения ими работников военизированных и строевых подразделений федерального государственного унитарного предприятия «Охрана» Федеральной службы войск национальной гвардии Российской Федерации»;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strike w:val="false"/>
                <w:dstrike w:val="false"/>
                <w:sz w:val="24"/>
                <w:szCs w:val="24"/>
                <w:u w:val="none"/>
                <w:shd w:fill="auto" w:val="clear"/>
              </w:rPr>
              <w:t>Приказ Росгвардии от 23 декабря 2022 N 472 г. «Об утверждении Порядка оборота боевого ручного стрелкового, служебного, гражданского оружия и патронов к нему, а также специальных средств в военизированных и сторожевых подразделениях федерального государственного унитарного предприятия «Охрана» Федеральной службы войск национальной гвардии Российской Федерации»;</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strike w:val="false"/>
                <w:dstrike w:val="false"/>
                <w:sz w:val="24"/>
                <w:szCs w:val="24"/>
                <w:u w:val="none"/>
                <w:shd w:fill="auto" w:val="clear"/>
              </w:rPr>
              <w:t>Приказ Росгвардии от 6 июля 2023 г. N 239 «Об утверждении форм и Порядка ведения документов учета оружия и патронов юридическими лицами, имеющими право на приобретение оружия, указанными в пунктах 2-7 статьи 10 Федерального закона от 13 декабря 1996 г. № 150-ФЗ «Об оружии», занимающимися для выполнения своих уставных задач исследованием, разработкой, испытанием, изготовлением и художественной отделки оружия и патронов к нему, а также испытанием изделий на пулестойкость»;</w:t>
            </w:r>
          </w:p>
          <w:p>
            <w:pPr>
              <w:pStyle w:val="Normal"/>
              <w:widowControl w:val="false"/>
              <w:numPr>
                <w:ilvl w:val="0"/>
                <w:numId w:val="2"/>
              </w:numPr>
              <w:tabs>
                <w:tab w:val="clear" w:pos="708"/>
                <w:tab w:val="left" w:pos="850" w:leader="none"/>
                <w:tab w:val="left" w:pos="963" w:leader="none"/>
              </w:tabs>
              <w:suppressAutoHyphens w:val="true"/>
              <w:bidi w:val="0"/>
              <w:spacing w:lineRule="auto" w:line="240" w:before="0" w:after="0"/>
              <w:ind w:left="57" w:right="340" w:firstLine="397"/>
              <w:jc w:val="both"/>
              <w:rPr>
                <w:rFonts w:ascii="Times New Roman" w:hAnsi="Times New Roman"/>
                <w:sz w:val="24"/>
                <w:szCs w:val="24"/>
              </w:rPr>
            </w:pPr>
            <w:r>
              <w:rPr>
                <w:rFonts w:eastAsia="Times New Roman" w:cs="Times New Roman"/>
                <w:b w:val="false"/>
                <w:bCs w:val="false"/>
                <w:strike w:val="false"/>
                <w:dstrike w:val="false"/>
                <w:color w:val="000000"/>
                <w:sz w:val="24"/>
                <w:szCs w:val="24"/>
                <w:u w:val="none"/>
                <w:shd w:fill="auto" w:val="clear"/>
                <w:lang w:eastAsia="ru-RU" w:bidi="ru-RU"/>
              </w:rPr>
              <w:t>Распоряжение Правительства РФ от 27.05.2022 N 1338-р «О перечне видов специальных средств, используемых работниками Банка России и Российского объединения инкассации».</w:t>
            </w:r>
          </w:p>
          <w:p>
            <w:pPr>
              <w:pStyle w:val="Normal"/>
              <w:widowControl w:val="false"/>
              <w:numPr>
                <w:ilvl w:val="0"/>
                <w:numId w:val="0"/>
              </w:numPr>
              <w:suppressAutoHyphens w:val="true"/>
              <w:bidi w:val="0"/>
              <w:spacing w:lineRule="auto" w:line="240" w:before="0" w:after="0"/>
              <w:ind w:left="567" w:right="0" w:hanging="0"/>
              <w:jc w:val="both"/>
              <w:rPr>
                <w:rFonts w:ascii="Times New Roman" w:hAnsi="Times New Roman" w:eastAsia="Times New Roman" w:cs="Times New Roman"/>
                <w:b w:val="false"/>
                <w:bCs w:val="false"/>
                <w:strike w:val="false"/>
                <w:dstrike w:val="false"/>
                <w:color w:val="000000"/>
                <w:sz w:val="24"/>
                <w:szCs w:val="24"/>
                <w:lang w:eastAsia="ru-RU" w:bidi="ru-RU"/>
              </w:rPr>
            </w:pPr>
            <w:r>
              <w:rPr>
                <w:rFonts w:eastAsia="Times New Roman" w:cs="Times New Roman"/>
                <w:b w:val="false"/>
                <w:bCs w:val="false"/>
                <w:strike w:val="false"/>
                <w:dstrike w:val="false"/>
                <w:color w:val="000000"/>
                <w:sz w:val="24"/>
                <w:szCs w:val="24"/>
                <w:lang w:eastAsia="ru-RU" w:bidi="ru-RU"/>
              </w:rPr>
            </w:r>
          </w:p>
          <w:p>
            <w:pPr>
              <w:pStyle w:val="ListParagraph"/>
              <w:widowControl w:val="false"/>
              <w:numPr>
                <w:ilvl w:val="0"/>
                <w:numId w:val="0"/>
              </w:numPr>
              <w:suppressAutoHyphens w:val="true"/>
              <w:bidi w:val="0"/>
              <w:spacing w:lineRule="auto" w:line="240" w:before="0" w:after="0"/>
              <w:ind w:left="624" w:right="170" w:hanging="0"/>
              <w:contextualSpacing/>
              <w:jc w:val="center"/>
              <w:rPr>
                <w:rFonts w:ascii="Times New Roman" w:hAnsi="Times New Roman"/>
                <w:sz w:val="24"/>
                <w:szCs w:val="24"/>
              </w:rPr>
            </w:pPr>
            <w:r>
              <w:rPr>
                <w:b/>
                <w:sz w:val="24"/>
                <w:szCs w:val="24"/>
                <w:u w:val="single"/>
              </w:rPr>
              <w:t xml:space="preserve">Порядок </w:t>
            </w:r>
            <w:r>
              <w:rPr>
                <w:b/>
                <w:sz w:val="24"/>
                <w:szCs w:val="24"/>
                <w:u w:val="single"/>
                <w:lang w:eastAsia="en-US"/>
              </w:rPr>
              <w:t>осуществления федерального государственного контроля (надзора) за деятельностью подразделений охраны юридических лиц с особыми уставными задачами и подразделений ведомственной охраны</w:t>
            </w:r>
          </w:p>
          <w:p>
            <w:pPr>
              <w:pStyle w:val="ListParagraph"/>
              <w:widowControl w:val="false"/>
              <w:numPr>
                <w:ilvl w:val="0"/>
                <w:numId w:val="0"/>
              </w:numPr>
              <w:ind w:left="1137" w:right="175" w:hanging="0"/>
              <w:jc w:val="center"/>
              <w:rPr>
                <w:rFonts w:ascii="Times New Roman" w:hAnsi="Times New Roman"/>
                <w:b/>
                <w:sz w:val="24"/>
                <w:szCs w:val="24"/>
                <w:lang w:eastAsia="en-US"/>
              </w:rPr>
            </w:pPr>
            <w:r>
              <w:rPr>
                <w:b/>
                <w:sz w:val="24"/>
                <w:szCs w:val="24"/>
                <w:lang w:eastAsia="en-US"/>
              </w:rPr>
            </w:r>
          </w:p>
          <w:p>
            <w:pPr>
              <w:pStyle w:val="Normal"/>
              <w:widowControl w:val="false"/>
              <w:ind w:right="176" w:firstLine="460"/>
              <w:jc w:val="both"/>
              <w:rPr>
                <w:rFonts w:ascii="Times New Roman" w:hAnsi="Times New Roman"/>
                <w:sz w:val="24"/>
                <w:szCs w:val="24"/>
              </w:rPr>
            </w:pPr>
            <w:r>
              <w:rPr>
                <w:sz w:val="24"/>
                <w:szCs w:val="24"/>
              </w:rPr>
              <w:t>Основанием для начала плановой проверки соблюдения обязательных требований является наступление срока проведения плановой проверки в соответствии с Планом проверок, утвержденным руководителем органа государственного контроля (надзора), который доводится до сведения заинтересованных лиц посредством его размещения на официальном сайте органа государственного контроля (надзора) в сети «Интернет» либо иным доступным способом.</w:t>
            </w:r>
          </w:p>
          <w:p>
            <w:pPr>
              <w:pStyle w:val="Normal"/>
              <w:widowControl w:val="false"/>
              <w:ind w:right="176" w:firstLine="460"/>
              <w:jc w:val="both"/>
              <w:rPr>
                <w:rFonts w:ascii="Times New Roman" w:hAnsi="Times New Roman"/>
                <w:sz w:val="24"/>
                <w:szCs w:val="24"/>
              </w:rPr>
            </w:pPr>
            <w:r>
              <w:rPr>
                <w:sz w:val="24"/>
                <w:szCs w:val="24"/>
              </w:rPr>
              <w:t xml:space="preserve">О проведении плановой проверки юридическое лицо уведомляется органом государственного контроля (надзора) не позднее чем за три рабочих дня до начала ее проведения посредством направления </w:t>
            </w:r>
            <w:r>
              <w:rPr>
                <w:b/>
                <w:sz w:val="24"/>
                <w:szCs w:val="24"/>
              </w:rPr>
              <w:t xml:space="preserve">копии распоряжения руководителя заказным почтовым отправлением с уведомлением о вручении </w:t>
            </w:r>
            <w:r>
              <w:rPr>
                <w:sz w:val="24"/>
                <w:szCs w:val="24"/>
              </w:rPr>
              <w:t>(где указывается состав и члены комиссии, срок проведения проверки).</w:t>
            </w:r>
          </w:p>
          <w:p>
            <w:pPr>
              <w:pStyle w:val="ConsPlusNormal"/>
              <w:widowControl w:val="false"/>
              <w:ind w:firstLine="460"/>
              <w:jc w:val="both"/>
              <w:rPr>
                <w:rFonts w:ascii="Times New Roman" w:hAnsi="Times New Roman"/>
                <w:sz w:val="24"/>
                <w:szCs w:val="24"/>
              </w:rPr>
            </w:pPr>
            <w:r>
              <w:rPr>
                <w:rFonts w:cs="Times New Roman" w:ascii="Times New Roman" w:hAnsi="Times New Roman"/>
                <w:sz w:val="24"/>
                <w:szCs w:val="24"/>
              </w:rPr>
              <w:t>Срок проведения проверки не может превышать двадцать рабочих дней.</w:t>
            </w:r>
          </w:p>
          <w:p>
            <w:pPr>
              <w:pStyle w:val="Normal"/>
              <w:widowControl w:val="false"/>
              <w:ind w:firstLine="460"/>
              <w:jc w:val="both"/>
              <w:rPr>
                <w:rFonts w:ascii="Times New Roman" w:hAnsi="Times New Roman"/>
                <w:sz w:val="24"/>
                <w:szCs w:val="24"/>
              </w:rPr>
            </w:pPr>
            <w:r>
              <w:rPr>
                <w:sz w:val="24"/>
                <w:szCs w:val="24"/>
              </w:rPr>
              <w:t>При проведении плановой проверки проверяются:</w:t>
            </w:r>
          </w:p>
          <w:p>
            <w:pPr>
              <w:pStyle w:val="Normal"/>
              <w:widowControl w:val="false"/>
              <w:ind w:firstLine="460"/>
              <w:jc w:val="both"/>
              <w:rPr>
                <w:rFonts w:ascii="Times New Roman" w:hAnsi="Times New Roman"/>
                <w:sz w:val="24"/>
                <w:szCs w:val="24"/>
              </w:rPr>
            </w:pPr>
            <w:bookmarkStart w:id="0" w:name="sub_1210412"/>
            <w:bookmarkEnd w:id="0"/>
            <w:r>
              <w:rPr>
                <w:sz w:val="24"/>
                <w:szCs w:val="24"/>
              </w:rPr>
              <w:t>Учредительные документы.</w:t>
            </w:r>
          </w:p>
          <w:p>
            <w:pPr>
              <w:pStyle w:val="Normal"/>
              <w:widowControl w:val="false"/>
              <w:ind w:firstLine="460"/>
              <w:jc w:val="both"/>
              <w:rPr>
                <w:rFonts w:ascii="Times New Roman" w:hAnsi="Times New Roman"/>
                <w:sz w:val="24"/>
                <w:szCs w:val="24"/>
              </w:rPr>
            </w:pPr>
            <w:r>
              <w:rPr>
                <w:sz w:val="24"/>
                <w:szCs w:val="24"/>
              </w:rPr>
              <w:t>Гражданско-правовые договоры (акты) на оказание услуг по охране объектов (имущества).</w:t>
            </w:r>
          </w:p>
          <w:p>
            <w:pPr>
              <w:pStyle w:val="Normal"/>
              <w:widowControl w:val="false"/>
              <w:ind w:firstLine="460"/>
              <w:jc w:val="both"/>
              <w:rPr>
                <w:rFonts w:ascii="Times New Roman" w:hAnsi="Times New Roman"/>
                <w:sz w:val="24"/>
                <w:szCs w:val="24"/>
              </w:rPr>
            </w:pPr>
            <w:r>
              <w:rPr>
                <w:sz w:val="24"/>
                <w:szCs w:val="24"/>
              </w:rPr>
              <w:t>Служебная документация по организации охраны и обеспечению безопасности охраняемых объектов (имущества).</w:t>
            </w:r>
          </w:p>
          <w:p>
            <w:pPr>
              <w:pStyle w:val="Normal"/>
              <w:widowControl w:val="false"/>
              <w:ind w:firstLine="460"/>
              <w:jc w:val="both"/>
              <w:rPr>
                <w:rFonts w:ascii="Times New Roman" w:hAnsi="Times New Roman"/>
                <w:sz w:val="24"/>
                <w:szCs w:val="24"/>
              </w:rPr>
            </w:pPr>
            <w:r>
              <w:rPr>
                <w:sz w:val="24"/>
                <w:szCs w:val="24"/>
              </w:rPr>
              <w:t>Организационно-распорядительные документы (акты), регламентирующие организацию охраны объектов (имущества), а также оборот оружия и специальных средств.</w:t>
            </w:r>
          </w:p>
          <w:p>
            <w:pPr>
              <w:pStyle w:val="Normal"/>
              <w:widowControl w:val="false"/>
              <w:ind w:firstLine="460"/>
              <w:jc w:val="both"/>
              <w:rPr>
                <w:rFonts w:ascii="Times New Roman" w:hAnsi="Times New Roman"/>
                <w:sz w:val="24"/>
                <w:szCs w:val="24"/>
              </w:rPr>
            </w:pPr>
            <w:r>
              <w:rPr>
                <w:sz w:val="24"/>
                <w:szCs w:val="24"/>
              </w:rPr>
              <w:t>Документы по обеспечению учета, сохранности, безопасности хранения и использования оружия и патронов к нему.</w:t>
            </w:r>
          </w:p>
          <w:p>
            <w:pPr>
              <w:pStyle w:val="Normal"/>
              <w:widowControl w:val="false"/>
              <w:ind w:firstLine="460"/>
              <w:jc w:val="both"/>
              <w:rPr>
                <w:rFonts w:ascii="Times New Roman" w:hAnsi="Times New Roman"/>
                <w:sz w:val="24"/>
                <w:szCs w:val="24"/>
              </w:rPr>
            </w:pPr>
            <w:r>
              <w:rPr>
                <w:sz w:val="24"/>
                <w:szCs w:val="24"/>
              </w:rPr>
              <w:t>Документы, подтверждающие прохождение работниками подразделений охраны ежегодных профилактических медицинских осмотров, включающих в себя химико-токсикологические исследования наличия в организме человека наркотических средств, психотропных веществ и их метаболитов, а также профессиональной подготовки, обязательной государственной дактилоскопической регистрации в соответствии с законодательством Российской Федерации.</w:t>
            </w:r>
          </w:p>
          <w:p>
            <w:pPr>
              <w:pStyle w:val="Normal"/>
              <w:widowControl w:val="false"/>
              <w:ind w:firstLine="460"/>
              <w:jc w:val="both"/>
              <w:rPr>
                <w:rFonts w:ascii="Times New Roman" w:hAnsi="Times New Roman"/>
                <w:sz w:val="24"/>
                <w:szCs w:val="24"/>
              </w:rPr>
            </w:pPr>
            <w:r>
              <w:rPr>
                <w:sz w:val="24"/>
                <w:szCs w:val="24"/>
              </w:rPr>
              <w:t>Наличие оружия, патронов и специальных средств, их учет, сохранность, безопасность хранения и использования в соответствии с нормативными правовыми актами Российской Федерации в сфере оборота оружия.</w:t>
            </w:r>
          </w:p>
          <w:p>
            <w:pPr>
              <w:pStyle w:val="Normal"/>
              <w:widowControl w:val="false"/>
              <w:ind w:firstLine="460"/>
              <w:jc w:val="both"/>
              <w:rPr>
                <w:rFonts w:ascii="Times New Roman" w:hAnsi="Times New Roman"/>
                <w:sz w:val="24"/>
                <w:szCs w:val="24"/>
              </w:rPr>
            </w:pPr>
            <w:bookmarkStart w:id="1" w:name="sub_1210512"/>
            <w:bookmarkStart w:id="2" w:name="sub_12104111"/>
            <w:bookmarkEnd w:id="1"/>
            <w:bookmarkEnd w:id="2"/>
            <w:r>
              <w:rPr>
                <w:sz w:val="24"/>
                <w:szCs w:val="24"/>
              </w:rPr>
              <w:t>Исполнение ранее выданных предписаний об устранении выявленных нарушений обязательных требований.</w:t>
            </w:r>
          </w:p>
          <w:p>
            <w:pPr>
              <w:pStyle w:val="Normal"/>
              <w:widowControl w:val="false"/>
              <w:ind w:firstLine="460"/>
              <w:jc w:val="both"/>
              <w:rPr>
                <w:rFonts w:ascii="Times New Roman" w:hAnsi="Times New Roman"/>
                <w:sz w:val="24"/>
                <w:szCs w:val="24"/>
              </w:rPr>
            </w:pPr>
            <w:bookmarkStart w:id="3" w:name="sub_1210511"/>
            <w:bookmarkStart w:id="4" w:name="sub_10311"/>
            <w:bookmarkEnd w:id="3"/>
            <w:bookmarkEnd w:id="4"/>
            <w:r>
              <w:rPr>
                <w:sz w:val="24"/>
                <w:szCs w:val="24"/>
              </w:rPr>
              <w:t>Результатом проверки является установление факта отсутствия (наличия) нарушений подразделениями охраны обязательных требований.</w:t>
            </w:r>
          </w:p>
          <w:p>
            <w:pPr>
              <w:pStyle w:val="Normal"/>
              <w:widowControl w:val="false"/>
              <w:ind w:firstLine="460"/>
              <w:jc w:val="both"/>
              <w:rPr>
                <w:rFonts w:ascii="Times New Roman" w:hAnsi="Times New Roman"/>
                <w:sz w:val="24"/>
                <w:szCs w:val="24"/>
              </w:rPr>
            </w:pPr>
            <w:bookmarkStart w:id="5" w:name="sub_103111"/>
            <w:bookmarkEnd w:id="5"/>
            <w:r>
              <w:rPr>
                <w:sz w:val="24"/>
                <w:szCs w:val="24"/>
              </w:rPr>
              <w:t>По окончанию проверки оформляется акт проверки на бумажном носителе в 2 экземплярах, а в случае выявления нарушений обязательных требований - предписание об устранении выявленных нарушений обязательных требований, а также (при выявлении административного правонарушения) протокол об административном правонарушении на бумажных носителях.</w:t>
            </w:r>
            <w:bookmarkStart w:id="6" w:name="sub_10321"/>
            <w:bookmarkEnd w:id="6"/>
          </w:p>
          <w:p>
            <w:pPr>
              <w:pStyle w:val="Normal"/>
              <w:widowControl w:val="false"/>
              <w:ind w:firstLine="460"/>
              <w:jc w:val="both"/>
              <w:rPr>
                <w:rFonts w:ascii="Times New Roman" w:hAnsi="Times New Roman"/>
                <w:sz w:val="24"/>
                <w:szCs w:val="24"/>
              </w:rPr>
            </w:pPr>
            <w:r>
              <w:rPr>
                <w:sz w:val="24"/>
                <w:szCs w:val="24"/>
              </w:rPr>
              <w:t>В журнале учета проверок должностными лицами органа государственного контроля (надзора) осуществляется запись о проведенной проверке.</w:t>
            </w:r>
          </w:p>
          <w:p>
            <w:pPr>
              <w:pStyle w:val="Normal"/>
              <w:widowControl w:val="false"/>
              <w:ind w:firstLine="460"/>
              <w:jc w:val="both"/>
              <w:rPr>
                <w:rFonts w:ascii="Times New Roman" w:hAnsi="Times New Roman"/>
                <w:sz w:val="24"/>
                <w:szCs w:val="24"/>
              </w:rPr>
            </w:pPr>
            <w:r>
              <w:rPr>
                <w:sz w:val="24"/>
                <w:szCs w:val="24"/>
              </w:rPr>
              <w:t>Юридическое лицо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государственного контроля (надзора) в письменной форме возражения.</w:t>
            </w:r>
          </w:p>
          <w:p>
            <w:pPr>
              <w:pStyle w:val="Normal"/>
              <w:widowControl w:val="false"/>
              <w:ind w:firstLine="460"/>
              <w:jc w:val="both"/>
              <w:rPr>
                <w:rFonts w:ascii="Times New Roman" w:hAnsi="Times New Roman"/>
                <w:sz w:val="24"/>
                <w:szCs w:val="24"/>
              </w:rPr>
            </w:pPr>
            <w:r>
              <w:rPr>
                <w:sz w:val="24"/>
                <w:szCs w:val="24"/>
              </w:rPr>
              <w:t>Срок устранения подразделением охраны выявленных нарушений обязательных требований, указанных в предписании об устранении выявленных нарушений обязательных требований, не должен превышать 3 месяцев с момента его вручения.</w:t>
            </w:r>
          </w:p>
          <w:p>
            <w:pPr>
              <w:pStyle w:val="Normal"/>
              <w:widowControl w:val="false"/>
              <w:ind w:firstLine="460"/>
              <w:jc w:val="both"/>
              <w:rPr>
                <w:rFonts w:ascii="Times New Roman" w:hAnsi="Times New Roman"/>
                <w:sz w:val="24"/>
                <w:szCs w:val="24"/>
              </w:rPr>
            </w:pPr>
            <w:r>
              <w:rPr>
                <w:sz w:val="24"/>
                <w:szCs w:val="24"/>
              </w:rPr>
              <w:t>В случае невозможности исполнения требований предписания об устранении выявленных нарушений обязательных требований по причинам, не зависящим от подразделения охраны, руководитель (заместитель руководителя) органа государственного контроля при поступлении не позднее чем за 10 рабочих дней до истечения срока исполнения предписания об устранении выявленных нарушений обязательных требований мотивированного обращения подразделения охраны вправе продлить срок исполнения предписания об устранении выявленных нарушений обязательных требований, но не более чем на 3 месяца, уведомив о принятии указанного решения подразделение охраны в течение 30 дней со дня регистрации указанного обращения.</w:t>
            </w:r>
          </w:p>
          <w:p>
            <w:pPr>
              <w:pStyle w:val="ListParagraph"/>
              <w:widowControl w:val="false"/>
              <w:ind w:left="0" w:right="175" w:firstLine="460"/>
              <w:rPr>
                <w:rFonts w:ascii="Times New Roman" w:hAnsi="Times New Roman"/>
                <w:sz w:val="24"/>
                <w:szCs w:val="24"/>
              </w:rPr>
            </w:pPr>
            <w:r>
              <w:rPr>
                <w:sz w:val="24"/>
                <w:szCs w:val="24"/>
              </w:rPr>
              <w:t>При наличии сведений о готовящихся нарушениях или о признаках нарушений обязательных требований, орган государственного контроля объявляет подразделению охраны предостережение о недопустимости нарушения обязательных требований и предлагает подразделению охраны принять меры по обеспечению соблюдения обязательных требований и уведомить об этом в установленный в таком предостережении срок орган государственного контроля.</w:t>
            </w:r>
          </w:p>
          <w:p>
            <w:pPr>
              <w:pStyle w:val="Normal"/>
              <w:widowControl w:val="false"/>
              <w:ind w:firstLine="318"/>
              <w:jc w:val="both"/>
              <w:rPr>
                <w:rFonts w:ascii="Times New Roman" w:hAnsi="Times New Roman"/>
                <w:b/>
                <w:sz w:val="24"/>
                <w:szCs w:val="24"/>
              </w:rPr>
            </w:pPr>
            <w:r>
              <w:rPr>
                <w:b/>
                <w:sz w:val="24"/>
                <w:szCs w:val="24"/>
              </w:rPr>
            </w:r>
          </w:p>
          <w:p>
            <w:pPr>
              <w:pStyle w:val="Normal"/>
              <w:widowControl w:val="false"/>
              <w:ind w:firstLine="318"/>
              <w:jc w:val="center"/>
              <w:rPr>
                <w:rFonts w:ascii="Times New Roman" w:hAnsi="Times New Roman"/>
                <w:sz w:val="24"/>
                <w:szCs w:val="24"/>
              </w:rPr>
            </w:pPr>
            <w:r>
              <w:rPr>
                <w:b/>
                <w:sz w:val="24"/>
                <w:szCs w:val="24"/>
                <w:u w:val="single"/>
              </w:rPr>
              <w:t>Наиболее характерные нарушения требований законодательства:</w:t>
            </w:r>
          </w:p>
          <w:p>
            <w:pPr>
              <w:pStyle w:val="Normal"/>
              <w:widowControl w:val="false"/>
              <w:ind w:firstLine="318"/>
              <w:jc w:val="center"/>
              <w:rPr>
                <w:rFonts w:ascii="Times New Roman" w:hAnsi="Times New Roman"/>
                <w:b/>
                <w:sz w:val="24"/>
                <w:szCs w:val="24"/>
              </w:rPr>
            </w:pPr>
            <w:r>
              <w:rPr>
                <w:b/>
                <w:sz w:val="24"/>
                <w:szCs w:val="24"/>
              </w:rPr>
            </w:r>
          </w:p>
          <w:p>
            <w:pPr>
              <w:pStyle w:val="Normal"/>
              <w:widowControl w:val="false"/>
              <w:ind w:firstLine="318"/>
              <w:jc w:val="both"/>
              <w:rPr>
                <w:rFonts w:ascii="Times New Roman" w:hAnsi="Times New Roman"/>
                <w:sz w:val="24"/>
                <w:szCs w:val="24"/>
              </w:rPr>
            </w:pPr>
            <w:r>
              <w:rPr>
                <w:sz w:val="24"/>
                <w:szCs w:val="24"/>
              </w:rPr>
              <w:t>1.</w:t>
              <w:tab/>
              <w:t>Работники охраны не проходят профилактические медицинские осмотры, включающие в себя химико-токсикологические исследования наличия в организме человека наркотических средств, психотропных веществ и их метаболитов</w:t>
            </w:r>
          </w:p>
          <w:p>
            <w:pPr>
              <w:pStyle w:val="Normal"/>
              <w:widowControl w:val="false"/>
              <w:ind w:firstLine="318"/>
              <w:jc w:val="both"/>
              <w:rPr>
                <w:rFonts w:ascii="Times New Roman" w:hAnsi="Times New Roman"/>
                <w:sz w:val="24"/>
                <w:szCs w:val="24"/>
              </w:rPr>
            </w:pPr>
            <w:r>
              <w:rPr>
                <w:sz w:val="24"/>
                <w:szCs w:val="24"/>
              </w:rPr>
              <w:t>2.</w:t>
              <w:tab/>
              <w:t>Работникам организаций, которым выдаётся служебное оружие и специальные средства, не проходят периодическую проверку на пригодность к действиям в условиях, связанных с применением огнестрельного оружия и специальных средств в специализированных учебных заведениях.</w:t>
            </w:r>
          </w:p>
          <w:p>
            <w:pPr>
              <w:pStyle w:val="Normal"/>
              <w:widowControl w:val="false"/>
              <w:ind w:firstLine="318"/>
              <w:jc w:val="both"/>
              <w:rPr>
                <w:rFonts w:ascii="Times New Roman" w:hAnsi="Times New Roman"/>
                <w:sz w:val="24"/>
                <w:szCs w:val="24"/>
              </w:rPr>
            </w:pPr>
            <w:r>
              <w:rPr>
                <w:sz w:val="24"/>
                <w:szCs w:val="24"/>
              </w:rPr>
              <w:t>3.</w:t>
              <w:tab/>
              <w:t>Не выдается служебное и гражданское оружие, а также специальные средства работникам ведомственной охраны при  выполнении служебных задач.</w:t>
            </w:r>
          </w:p>
          <w:p>
            <w:pPr>
              <w:pStyle w:val="Normal"/>
              <w:widowControl w:val="false"/>
              <w:ind w:firstLine="318"/>
              <w:jc w:val="both"/>
              <w:rPr>
                <w:rFonts w:ascii="Times New Roman" w:hAnsi="Times New Roman"/>
                <w:sz w:val="24"/>
                <w:szCs w:val="24"/>
              </w:rPr>
            </w:pPr>
            <w:r>
              <w:rPr>
                <w:sz w:val="24"/>
                <w:szCs w:val="24"/>
              </w:rPr>
              <w:t>4.</w:t>
              <w:tab/>
              <w:t>Выдача и прием оружия и специальных средств осуществляется лицами, в должностных инструкциях которых не определены данные обязанности.</w:t>
            </w:r>
          </w:p>
          <w:p>
            <w:pPr>
              <w:pStyle w:val="Normal"/>
              <w:widowControl w:val="false"/>
              <w:ind w:firstLine="318"/>
              <w:jc w:val="both"/>
              <w:rPr>
                <w:rFonts w:ascii="Times New Roman" w:hAnsi="Times New Roman"/>
                <w:sz w:val="24"/>
                <w:szCs w:val="24"/>
              </w:rPr>
            </w:pPr>
            <w:r>
              <w:rPr>
                <w:sz w:val="24"/>
                <w:szCs w:val="24"/>
              </w:rPr>
              <w:t>5.</w:t>
              <w:tab/>
              <w:t>Жизнь и здоровье работников охраны, которым предоставлено право ношения и применения служебного оружия, а также специальных средств, не застрахованы.</w:t>
            </w:r>
          </w:p>
          <w:p>
            <w:pPr>
              <w:pStyle w:val="Normal"/>
              <w:widowControl w:val="false"/>
              <w:ind w:firstLine="318"/>
              <w:jc w:val="both"/>
              <w:rPr>
                <w:rFonts w:ascii="Times New Roman" w:hAnsi="Times New Roman"/>
                <w:sz w:val="24"/>
                <w:szCs w:val="24"/>
              </w:rPr>
            </w:pPr>
            <w:r>
              <w:rPr>
                <w:sz w:val="24"/>
                <w:szCs w:val="24"/>
              </w:rPr>
              <w:t>6.</w:t>
              <w:tab/>
              <w:t>Количество патронов к служебному оружию не соответствует нормам обеспечения патронами.</w:t>
            </w:r>
          </w:p>
          <w:p>
            <w:pPr>
              <w:pStyle w:val="Normal"/>
              <w:widowControl w:val="false"/>
              <w:ind w:firstLine="318"/>
              <w:jc w:val="both"/>
              <w:rPr>
                <w:rFonts w:ascii="Times New Roman" w:hAnsi="Times New Roman"/>
                <w:sz w:val="24"/>
                <w:szCs w:val="24"/>
              </w:rPr>
            </w:pPr>
            <w:r>
              <w:rPr>
                <w:sz w:val="24"/>
                <w:szCs w:val="24"/>
              </w:rPr>
              <w:t>7.</w:t>
              <w:tab/>
              <w:t>Хранение оружия осуществляется в грязном, нечищеном виде, а также не в разряженном состоянии (с присоединенными магазинами).</w:t>
            </w:r>
          </w:p>
          <w:p>
            <w:pPr>
              <w:pStyle w:val="Normal"/>
              <w:widowControl w:val="false"/>
              <w:ind w:firstLine="318"/>
              <w:jc w:val="both"/>
              <w:rPr>
                <w:rFonts w:ascii="Times New Roman" w:hAnsi="Times New Roman"/>
                <w:sz w:val="24"/>
                <w:szCs w:val="24"/>
              </w:rPr>
            </w:pPr>
            <w:r>
              <w:rPr>
                <w:sz w:val="24"/>
                <w:szCs w:val="24"/>
              </w:rPr>
              <w:t>8.</w:t>
              <w:tab/>
              <w:t>Не проводится инвентаризация при смене лица, ответственного за сохранность оружия, патронов и специальных средств, на день приема-передачи дел.</w:t>
            </w:r>
          </w:p>
          <w:p>
            <w:pPr>
              <w:pStyle w:val="Normal"/>
              <w:widowControl w:val="false"/>
              <w:ind w:firstLine="318"/>
              <w:jc w:val="both"/>
              <w:rPr>
                <w:rFonts w:ascii="Times New Roman" w:hAnsi="Times New Roman"/>
                <w:sz w:val="24"/>
                <w:szCs w:val="24"/>
              </w:rPr>
            </w:pPr>
            <w:r>
              <w:rPr>
                <w:sz w:val="24"/>
                <w:szCs w:val="24"/>
              </w:rPr>
              <w:t>9.</w:t>
              <w:tab/>
              <w:t>Ежеквартальная сверка проводится с нарушениями действующего законодательства.</w:t>
            </w:r>
          </w:p>
          <w:p>
            <w:pPr>
              <w:pStyle w:val="Normal"/>
              <w:widowControl w:val="false"/>
              <w:ind w:firstLine="318"/>
              <w:jc w:val="both"/>
              <w:rPr>
                <w:rFonts w:ascii="Times New Roman" w:hAnsi="Times New Roman"/>
                <w:sz w:val="24"/>
                <w:szCs w:val="24"/>
              </w:rPr>
            </w:pPr>
            <w:r>
              <w:rPr>
                <w:sz w:val="24"/>
                <w:szCs w:val="24"/>
              </w:rPr>
              <w:t>10.</w:t>
              <w:tab/>
              <w:t>Записи в книгах учета и выдачи оружия производятся с помарками и подчистками.</w:t>
            </w:r>
          </w:p>
          <w:p>
            <w:pPr>
              <w:pStyle w:val="Normal"/>
              <w:widowControl w:val="false"/>
              <w:ind w:firstLine="318"/>
              <w:jc w:val="both"/>
              <w:rPr>
                <w:rFonts w:ascii="Times New Roman" w:hAnsi="Times New Roman"/>
                <w:sz w:val="24"/>
                <w:szCs w:val="24"/>
              </w:rPr>
            </w:pPr>
            <w:r>
              <w:rPr>
                <w:sz w:val="24"/>
                <w:szCs w:val="24"/>
              </w:rPr>
              <w:t>11.</w:t>
              <w:tab/>
              <w:t>КХО не ставится под охрану после выдачи оружия работникам от одного часа и более.</w:t>
            </w:r>
          </w:p>
          <w:p>
            <w:pPr>
              <w:pStyle w:val="Normal"/>
              <w:widowControl w:val="false"/>
              <w:ind w:firstLine="318"/>
              <w:jc w:val="both"/>
              <w:rPr>
                <w:rFonts w:ascii="Times New Roman" w:hAnsi="Times New Roman"/>
                <w:sz w:val="24"/>
                <w:szCs w:val="24"/>
              </w:rPr>
            </w:pPr>
            <w:r>
              <w:rPr>
                <w:sz w:val="24"/>
                <w:szCs w:val="24"/>
              </w:rPr>
              <w:t>12.</w:t>
              <w:tab/>
              <w:t>Закрепляется оружие за работником не прошедшим соответствующую подготовку на пригодность к действиям в условиях, связанных с применением служебного и гражданского оружия, а также специальных средств.</w:t>
            </w:r>
          </w:p>
          <w:p>
            <w:pPr>
              <w:pStyle w:val="Normal"/>
              <w:widowControl w:val="false"/>
              <w:ind w:firstLine="318"/>
              <w:jc w:val="both"/>
              <w:rPr>
                <w:rFonts w:ascii="Times New Roman" w:hAnsi="Times New Roman"/>
                <w:sz w:val="24"/>
                <w:szCs w:val="24"/>
              </w:rPr>
            </w:pPr>
            <w:r>
              <w:rPr>
                <w:sz w:val="24"/>
                <w:szCs w:val="24"/>
              </w:rPr>
              <w:t>13.</w:t>
              <w:tab/>
              <w:t>Сверка информации об обороте оружия, содержащейся в учетных документах, с информацией о снятии/постановке комнаты хранения оружия под охрану выявила факты несоответствия информации, вносимой в учетные документы (например, в учетные документы внесена запись о проведении ежеквартальной сверки, при этом в указанную дату комната хранения оружия с охраны не снималась; комната хранения оружия снималась с охраны в определенные дни, при этом записи о движении оружия и патронов, совершении с ними каких-либо действий, в учетных документах отсутствуют).</w:t>
            </w:r>
          </w:p>
          <w:p>
            <w:pPr>
              <w:pStyle w:val="Normal"/>
              <w:widowControl w:val="false"/>
              <w:ind w:firstLine="318"/>
              <w:jc w:val="both"/>
              <w:rPr>
                <w:rFonts w:ascii="Times New Roman" w:hAnsi="Times New Roman"/>
                <w:sz w:val="24"/>
                <w:szCs w:val="24"/>
              </w:rPr>
            </w:pPr>
            <w:r>
              <w:rPr>
                <w:sz w:val="24"/>
                <w:szCs w:val="24"/>
              </w:rPr>
              <w:t>14.</w:t>
              <w:tab/>
              <w:t>Не проводятся профилактические чистки и смазки оружия (информация, указанная в графике, не подтверждается данными о снятии/постановке комнаты хранения оружия с охраны/под охрану).</w:t>
            </w:r>
          </w:p>
          <w:p>
            <w:pPr>
              <w:pStyle w:val="Normal"/>
              <w:widowControl w:val="false"/>
              <w:ind w:firstLine="318"/>
              <w:jc w:val="both"/>
              <w:rPr>
                <w:rFonts w:ascii="Times New Roman" w:hAnsi="Times New Roman"/>
                <w:sz w:val="24"/>
                <w:szCs w:val="24"/>
              </w:rPr>
            </w:pPr>
            <w:r>
              <w:rPr>
                <w:sz w:val="24"/>
                <w:szCs w:val="24"/>
              </w:rPr>
              <w:t>15.</w:t>
              <w:tab/>
              <w:t>На сейфе отсутствует бирка с указанием названия и порядкового номера согласно описи помещения, наименования организации, а также фамилия и инициалы лица, ответственного за их сохранность, и номер его печати или оттиска пломбира.</w:t>
            </w:r>
          </w:p>
          <w:p>
            <w:pPr>
              <w:pStyle w:val="Normal"/>
              <w:widowControl w:val="false"/>
              <w:ind w:firstLine="318"/>
              <w:jc w:val="both"/>
              <w:rPr>
                <w:rFonts w:ascii="Times New Roman" w:hAnsi="Times New Roman"/>
                <w:sz w:val="24"/>
                <w:szCs w:val="24"/>
              </w:rPr>
            </w:pPr>
            <w:r>
              <w:rPr>
                <w:sz w:val="24"/>
                <w:szCs w:val="24"/>
              </w:rPr>
              <w:t>16.</w:t>
              <w:tab/>
              <w:t>Не производится опечатывание металлических шкафов (сейфов) со специальными средствами. Хранение бронежилетов осуществляется в нерегламентированных местах.</w:t>
            </w:r>
          </w:p>
          <w:p>
            <w:pPr>
              <w:pStyle w:val="Normal"/>
              <w:widowControl w:val="false"/>
              <w:ind w:firstLine="318"/>
              <w:jc w:val="both"/>
              <w:rPr>
                <w:rFonts w:ascii="Times New Roman" w:hAnsi="Times New Roman"/>
                <w:sz w:val="24"/>
                <w:szCs w:val="24"/>
              </w:rPr>
            </w:pPr>
            <w:r>
              <w:rPr>
                <w:sz w:val="24"/>
                <w:szCs w:val="24"/>
              </w:rPr>
              <w:t>17.</w:t>
              <w:tab/>
              <w:t>В КХО отсутствует опись с указанием количества размещенных в ней сейфов, шкафов, пирамид, ящиков и стеллажей, их порядковых и инвентарных номеров, а также номеров печатей и оттисков пломбиров, которыми они опечатываются.</w:t>
            </w:r>
          </w:p>
          <w:p>
            <w:pPr>
              <w:pStyle w:val="Normal"/>
              <w:widowControl w:val="false"/>
              <w:ind w:firstLine="318"/>
              <w:jc w:val="both"/>
              <w:rPr>
                <w:rFonts w:ascii="Times New Roman" w:hAnsi="Times New Roman"/>
                <w:sz w:val="24"/>
                <w:szCs w:val="24"/>
              </w:rPr>
            </w:pPr>
            <w:r>
              <w:rPr>
                <w:sz w:val="24"/>
                <w:szCs w:val="24"/>
              </w:rPr>
              <w:t>18.</w:t>
              <w:tab/>
              <w:t>Работникам вместо двух снаряжённых магазинов, выдается один.</w:t>
            </w:r>
          </w:p>
          <w:p>
            <w:pPr>
              <w:pStyle w:val="Normal"/>
              <w:widowControl w:val="false"/>
              <w:ind w:firstLine="318"/>
              <w:jc w:val="both"/>
              <w:rPr>
                <w:rFonts w:ascii="Times New Roman" w:hAnsi="Times New Roman"/>
                <w:sz w:val="24"/>
                <w:szCs w:val="24"/>
              </w:rPr>
            </w:pPr>
            <w:r>
              <w:rPr>
                <w:sz w:val="24"/>
                <w:szCs w:val="24"/>
              </w:rPr>
              <w:t>19.</w:t>
              <w:tab/>
              <w:t>Первый комплект ключей не передается по окончании дежурства под роспись в книге приема и сдачи дежурства.</w:t>
            </w:r>
          </w:p>
          <w:p>
            <w:pPr>
              <w:pStyle w:val="Normal"/>
              <w:widowControl w:val="false"/>
              <w:ind w:firstLine="318"/>
              <w:jc w:val="both"/>
              <w:rPr>
                <w:rFonts w:ascii="Times New Roman" w:hAnsi="Times New Roman"/>
                <w:sz w:val="24"/>
                <w:szCs w:val="24"/>
              </w:rPr>
            </w:pPr>
            <w:r>
              <w:rPr>
                <w:sz w:val="24"/>
                <w:szCs w:val="24"/>
              </w:rPr>
              <w:t>20.</w:t>
              <w:tab/>
              <w:t>Не все сотрудники, замещающие соответствующие должности, закреплены за служебным оружием.</w:t>
            </w:r>
          </w:p>
          <w:p>
            <w:pPr>
              <w:pStyle w:val="Normal"/>
              <w:widowControl w:val="false"/>
              <w:ind w:firstLine="318"/>
              <w:jc w:val="both"/>
              <w:rPr>
                <w:rFonts w:ascii="Times New Roman" w:hAnsi="Times New Roman"/>
                <w:sz w:val="24"/>
                <w:szCs w:val="24"/>
              </w:rPr>
            </w:pPr>
            <w:r>
              <w:rPr>
                <w:sz w:val="24"/>
                <w:szCs w:val="24"/>
              </w:rPr>
              <w:t>21.</w:t>
            </w:r>
            <w:r>
              <w:rPr>
                <w:b w:val="false"/>
                <w:bCs w:val="false"/>
                <w:sz w:val="24"/>
                <w:szCs w:val="24"/>
                <w:shd w:fill="auto" w:val="clear"/>
              </w:rPr>
              <w:t xml:space="preserve"> Р</w:t>
            </w:r>
            <w:r>
              <w:rPr>
                <w:rStyle w:val="Style20"/>
                <w:rFonts w:eastAsia="Times New Roman" w:cs="Times New Roman"/>
                <w:b w:val="false"/>
                <w:bCs w:val="false"/>
                <w:color w:val="000000"/>
                <w:sz w:val="24"/>
                <w:szCs w:val="24"/>
                <w:u w:val="none"/>
                <w:shd w:fill="auto" w:val="clear"/>
              </w:rPr>
              <w:t>аботники суточной смены (караула) в полном объёме не укомплектованы специальными средствами и средствами индивидуальной защиты.</w:t>
            </w:r>
          </w:p>
          <w:p>
            <w:pPr>
              <w:pStyle w:val="Normal"/>
              <w:widowControl w:val="false"/>
              <w:ind w:firstLine="318"/>
              <w:jc w:val="both"/>
              <w:rPr>
                <w:highlight w:val="none"/>
                <w:shd w:fill="auto" w:val="clear"/>
              </w:rPr>
            </w:pPr>
            <w:r>
              <w:rPr>
                <w:sz w:val="24"/>
                <w:szCs w:val="24"/>
                <w:shd w:fill="auto" w:val="clear"/>
              </w:rPr>
              <w:t>22. Не проводятся ежемесячные учебные стрельбы из закрепленного оружия.</w:t>
            </w:r>
          </w:p>
          <w:p>
            <w:pPr>
              <w:pStyle w:val="ListParagraph"/>
              <w:widowControl w:val="false"/>
              <w:ind w:left="0" w:right="175" w:firstLine="460"/>
              <w:rPr>
                <w:sz w:val="24"/>
                <w:szCs w:val="24"/>
                <w:u w:val="single"/>
              </w:rPr>
            </w:pPr>
            <w:r>
              <w:rPr>
                <w:sz w:val="24"/>
                <w:szCs w:val="24"/>
                <w:u w:val="single"/>
              </w:rPr>
            </w:r>
          </w:p>
        </w:tc>
      </w:tr>
    </w:tbl>
    <w:p>
      <w:pPr>
        <w:pStyle w:val="Normal"/>
        <w:rPr/>
      </w:pPr>
      <w:r>
        <w:rPr/>
      </w:r>
    </w:p>
    <w:p>
      <w:pPr>
        <w:pStyle w:val="NoSpacing"/>
        <w:rPr/>
      </w:pPr>
      <w:r>
        <w:rPr/>
      </w:r>
    </w:p>
    <w:sectPr>
      <w:type w:val="nextPage"/>
      <w:pgSz w:w="11906" w:h="16838"/>
      <w:pgMar w:left="993" w:right="850" w:gutter="0" w:header="0" w:top="993" w:footer="0" w:bottom="42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roman"/>
    <w:pitch w:val="default"/>
  </w:font>
  <w:font w:name="PT Sans">
    <w:charset w:val="01"/>
    <w:family w:val="roman"/>
    <w:pitch w:val="default"/>
  </w:font>
  <w:font w:name="Tahoma">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decimal"/>
      <w:lvlText w:val="%1."/>
      <w:lvlJc w:val="left"/>
      <w:pPr>
        <w:tabs>
          <w:tab w:val="num" w:pos="0"/>
        </w:tabs>
        <w:ind w:left="720" w:hanging="360"/>
      </w:pPr>
      <w:rPr>
        <w:sz w:val="24"/>
        <w:szCs w:val="24"/>
        <w:rFonts w:ascii="Times New Roman" w:hAnsi="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uiPriority="10" w:semiHidden="0" w:unhideWhenUsed="0" w:qFormat="1"/>
    <w:lsdException w:name="Default Paragraph Font" w:uiPriority="1"/>
    <w:lsdException w:name="Body Text Indent" w:uiPriority="0"/>
    <w:lsdException w:name="Subtitle" w:uiPriority="11" w:semiHidden="0" w:unhideWhenUsed="0" w:qFormat="1"/>
    <w:lsdException w:name="Body Text Indent 2"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81f88"/>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2">
    <w:name w:val="Heading 2"/>
    <w:basedOn w:val="Style21"/>
    <w:next w:val="Style22"/>
    <w:qFormat/>
    <w:pPr>
      <w:numPr>
        <w:ilvl w:val="1"/>
        <w:numId w:val="1"/>
      </w:numPr>
      <w:spacing w:before="200" w:after="120"/>
      <w:outlineLvl w:val="1"/>
    </w:pPr>
    <w:rPr>
      <w:b/>
      <w:bCs/>
      <w:sz w:val="32"/>
      <w:szCs w:val="32"/>
    </w:rPr>
  </w:style>
  <w:style w:type="character" w:styleId="DefaultParagraphFont" w:default="1">
    <w:name w:val="Default Paragraph Font"/>
    <w:uiPriority w:val="1"/>
    <w:semiHidden/>
    <w:unhideWhenUsed/>
    <w:qFormat/>
    <w:rPr/>
  </w:style>
  <w:style w:type="character" w:styleId="1" w:customStyle="1">
    <w:name w:val="Обычный1 Знак"/>
    <w:qFormat/>
    <w:rsid w:val="00d81f88"/>
    <w:rPr>
      <w:rFonts w:ascii="Arial" w:hAnsi="Arial" w:eastAsia="Times New Roman" w:cs="Times New Roman"/>
      <w:sz w:val="24"/>
      <w:szCs w:val="20"/>
      <w:lang w:eastAsia="ru-RU"/>
    </w:rPr>
  </w:style>
  <w:style w:type="character" w:styleId="Style13" w:customStyle="1">
    <w:name w:val="Основной текст с отступом Знак"/>
    <w:basedOn w:val="DefaultParagraphFont"/>
    <w:qFormat/>
    <w:rsid w:val="001c6f22"/>
    <w:rPr>
      <w:rFonts w:ascii="Times New Roman" w:hAnsi="Times New Roman" w:eastAsia="Times New Roman" w:cs="Times New Roman"/>
      <w:sz w:val="24"/>
      <w:szCs w:val="20"/>
      <w:lang w:eastAsia="ru-RU"/>
    </w:rPr>
  </w:style>
  <w:style w:type="character" w:styleId="21" w:customStyle="1">
    <w:name w:val="Основной текст с отступом 2 Знак"/>
    <w:basedOn w:val="DefaultParagraphFont"/>
    <w:qFormat/>
    <w:rsid w:val="001c6f22"/>
    <w:rPr>
      <w:rFonts w:ascii="Times New Roman" w:hAnsi="Times New Roman" w:eastAsia="Times New Roman" w:cs="Times New Roman"/>
      <w:sz w:val="24"/>
      <w:szCs w:val="24"/>
    </w:rPr>
  </w:style>
  <w:style w:type="character" w:styleId="Style14">
    <w:name w:val="Символ сноски"/>
    <w:qFormat/>
    <w:rPr>
      <w:vertAlign w:val="superscript"/>
    </w:rPr>
  </w:style>
  <w:style w:type="character" w:styleId="Style15">
    <w:name w:val="Footnote Reference"/>
    <w:rPr>
      <w:vertAlign w:val="superscript"/>
    </w:rPr>
  </w:style>
  <w:style w:type="character" w:styleId="FootnoteCharacters">
    <w:name w:val="Footnote Characters"/>
    <w:qFormat/>
    <w:rsid w:val="001c6f22"/>
    <w:rPr>
      <w:vertAlign w:val="superscript"/>
    </w:rPr>
  </w:style>
  <w:style w:type="character" w:styleId="Style16" w:customStyle="1">
    <w:name w:val="Текст сноски Знак"/>
    <w:basedOn w:val="DefaultParagraphFont"/>
    <w:qFormat/>
    <w:rsid w:val="001c6f22"/>
    <w:rPr>
      <w:rFonts w:ascii="Times New Roman" w:hAnsi="Times New Roman" w:eastAsia="Times New Roman" w:cs="Times New Roman"/>
      <w:sz w:val="20"/>
      <w:szCs w:val="20"/>
      <w:lang w:eastAsia="ru-RU"/>
    </w:rPr>
  </w:style>
  <w:style w:type="character" w:styleId="Style17" w:customStyle="1">
    <w:name w:val="Гипертекстовая ссылка"/>
    <w:qFormat/>
    <w:rsid w:val="001c6f22"/>
    <w:rPr>
      <w:b/>
      <w:bCs/>
      <w:color w:val="008000"/>
      <w:sz w:val="20"/>
      <w:szCs w:val="20"/>
      <w:u w:val="single"/>
    </w:rPr>
  </w:style>
  <w:style w:type="character" w:styleId="3" w:customStyle="1">
    <w:name w:val="Заголовок №3_"/>
    <w:qFormat/>
    <w:rsid w:val="004f56e7"/>
    <w:rPr>
      <w:sz w:val="26"/>
      <w:szCs w:val="26"/>
      <w:shd w:fill="FFFFFF" w:val="clear"/>
    </w:rPr>
  </w:style>
  <w:style w:type="character" w:styleId="Style18" w:customStyle="1">
    <w:name w:val="Основной текст Знак"/>
    <w:basedOn w:val="DefaultParagraphFont"/>
    <w:uiPriority w:val="99"/>
    <w:qFormat/>
    <w:rsid w:val="005f039b"/>
    <w:rPr>
      <w:rFonts w:ascii="Times New Roman" w:hAnsi="Times New Roman" w:eastAsia="Times New Roman" w:cs="Times New Roman"/>
      <w:sz w:val="20"/>
      <w:szCs w:val="20"/>
      <w:lang w:eastAsia="ru-RU"/>
    </w:rPr>
  </w:style>
  <w:style w:type="character" w:styleId="Style19">
    <w:name w:val="Выделение"/>
    <w:qFormat/>
    <w:rPr>
      <w:i/>
      <w:iCs/>
    </w:rPr>
  </w:style>
  <w:style w:type="character" w:styleId="-">
    <w:name w:val="Hyperlink"/>
    <w:rPr>
      <w:color w:val="000080"/>
      <w:u w:val="single"/>
    </w:rPr>
  </w:style>
  <w:style w:type="character" w:styleId="Style20">
    <w:name w:val="Цветовое выделение для Текст"/>
    <w:qFormat/>
    <w:rPr/>
  </w:style>
  <w:style w:type="paragraph" w:styleId="Style21">
    <w:name w:val="Заголовок"/>
    <w:basedOn w:val="Normal"/>
    <w:next w:val="Style22"/>
    <w:qFormat/>
    <w:pPr>
      <w:keepNext w:val="true"/>
      <w:spacing w:before="240" w:after="120"/>
    </w:pPr>
    <w:rPr>
      <w:rFonts w:ascii="PT Sans" w:hAnsi="PT Sans" w:eastAsia="Tahoma" w:cs="Noto Sans Devanagari"/>
      <w:sz w:val="28"/>
      <w:szCs w:val="28"/>
    </w:rPr>
  </w:style>
  <w:style w:type="paragraph" w:styleId="Style22">
    <w:name w:val="Body Text"/>
    <w:basedOn w:val="Normal"/>
    <w:uiPriority w:val="99"/>
    <w:unhideWhenUsed/>
    <w:rsid w:val="005f039b"/>
    <w:pPr>
      <w:spacing w:before="0" w:after="120"/>
    </w:pPr>
    <w:rPr/>
  </w:style>
  <w:style w:type="paragraph" w:styleId="Style23">
    <w:name w:val="List"/>
    <w:basedOn w:val="Style22"/>
    <w:pPr/>
    <w:rPr>
      <w:rFonts w:ascii="PT Sans" w:hAnsi="PT Sans" w:cs="Noto Sans Devanagari"/>
    </w:rPr>
  </w:style>
  <w:style w:type="paragraph" w:styleId="Style24">
    <w:name w:val="Caption"/>
    <w:basedOn w:val="Normal"/>
    <w:qFormat/>
    <w:pPr>
      <w:suppressLineNumbers/>
      <w:spacing w:before="120" w:after="120"/>
    </w:pPr>
    <w:rPr>
      <w:rFonts w:ascii="PT Sans" w:hAnsi="PT Sans" w:cs="Noto Sans Devanagari"/>
      <w:i/>
      <w:iCs/>
      <w:sz w:val="24"/>
      <w:szCs w:val="24"/>
    </w:rPr>
  </w:style>
  <w:style w:type="paragraph" w:styleId="Style25">
    <w:name w:val="Указатель"/>
    <w:basedOn w:val="Normal"/>
    <w:qFormat/>
    <w:pPr>
      <w:suppressLineNumbers/>
    </w:pPr>
    <w:rPr>
      <w:rFonts w:ascii="PT Sans" w:hAnsi="PT Sans" w:cs="Noto Sans Devanagari"/>
    </w:rPr>
  </w:style>
  <w:style w:type="paragraph" w:styleId="NoSpacing">
    <w:name w:val="No Spacing"/>
    <w:uiPriority w:val="1"/>
    <w:qFormat/>
    <w:rsid w:val="00d81f88"/>
    <w:pPr>
      <w:widowControl/>
      <w:suppressAutoHyphens w:val="true"/>
      <w:bidi w:val="0"/>
      <w:spacing w:lineRule="auto" w:line="240" w:before="0" w:after="0"/>
      <w:jc w:val="left"/>
    </w:pPr>
    <w:rPr>
      <w:rFonts w:ascii="Calibri" w:hAnsi="Calibri" w:eastAsia="Times New Roman" w:cs="Times New Roman" w:asciiTheme="minorHAnsi" w:hAnsiTheme="minorHAnsi"/>
      <w:color w:val="auto"/>
      <w:kern w:val="0"/>
      <w:sz w:val="20"/>
      <w:szCs w:val="22"/>
      <w:lang w:val="ru-RU" w:eastAsia="ru-RU" w:bidi="ar-SA"/>
    </w:rPr>
  </w:style>
  <w:style w:type="paragraph" w:styleId="11" w:customStyle="1">
    <w:name w:val="Обычный1"/>
    <w:qFormat/>
    <w:rsid w:val="00d81f88"/>
    <w:pPr>
      <w:widowControl w:val="false"/>
      <w:suppressAutoHyphens w:val="true"/>
      <w:bidi w:val="0"/>
      <w:spacing w:lineRule="auto" w:line="240" w:before="0" w:after="0"/>
      <w:jc w:val="left"/>
    </w:pPr>
    <w:rPr>
      <w:rFonts w:ascii="Arial" w:hAnsi="Arial" w:eastAsia="Times New Roman" w:cs="Times New Roman"/>
      <w:color w:val="auto"/>
      <w:kern w:val="0"/>
      <w:sz w:val="24"/>
      <w:szCs w:val="20"/>
      <w:lang w:val="ru-RU" w:eastAsia="ru-RU" w:bidi="ar-SA"/>
    </w:rPr>
  </w:style>
  <w:style w:type="paragraph" w:styleId="Style26">
    <w:name w:val="Body Text Indent"/>
    <w:basedOn w:val="Normal"/>
    <w:rsid w:val="001c6f22"/>
    <w:pPr>
      <w:ind w:firstLine="540"/>
      <w:jc w:val="both"/>
    </w:pPr>
    <w:rPr>
      <w:sz w:val="24"/>
    </w:rPr>
  </w:style>
  <w:style w:type="paragraph" w:styleId="BodyTextIndent2">
    <w:name w:val="Body Text Indent 2"/>
    <w:basedOn w:val="Normal"/>
    <w:unhideWhenUsed/>
    <w:qFormat/>
    <w:rsid w:val="001c6f22"/>
    <w:pPr>
      <w:spacing w:lineRule="auto" w:line="480" w:before="0" w:after="120"/>
      <w:ind w:left="283" w:hanging="0"/>
    </w:pPr>
    <w:rPr>
      <w:sz w:val="24"/>
      <w:szCs w:val="24"/>
    </w:rPr>
  </w:style>
  <w:style w:type="paragraph" w:styleId="Style27">
    <w:name w:val="Footnote Text"/>
    <w:basedOn w:val="Normal"/>
    <w:rsid w:val="001c6f22"/>
    <w:pPr/>
    <w:rPr/>
  </w:style>
  <w:style w:type="paragraph" w:styleId="22" w:customStyle="1">
    <w:name w:val="Основной текст2"/>
    <w:basedOn w:val="Normal"/>
    <w:qFormat/>
    <w:rsid w:val="001c6f22"/>
    <w:pPr>
      <w:widowControl w:val="false"/>
      <w:shd w:val="clear" w:color="auto" w:fill="FFFFFF"/>
      <w:spacing w:lineRule="exact" w:line="216" w:before="0" w:after="240"/>
      <w:jc w:val="center"/>
    </w:pPr>
    <w:rPr>
      <w:color w:val="000000"/>
      <w:sz w:val="19"/>
      <w:szCs w:val="19"/>
      <w:lang w:bidi="ru-RU"/>
    </w:rPr>
  </w:style>
  <w:style w:type="paragraph" w:styleId="31" w:customStyle="1">
    <w:name w:val="Заголовок №3"/>
    <w:basedOn w:val="Normal"/>
    <w:link w:val="3"/>
    <w:qFormat/>
    <w:rsid w:val="004f56e7"/>
    <w:pPr>
      <w:shd w:val="clear" w:color="auto" w:fill="FFFFFF"/>
      <w:spacing w:lineRule="auto" w:line="240" w:before="0" w:after="300"/>
      <w:ind w:hanging="420"/>
      <w:outlineLvl w:val="2"/>
    </w:pPr>
    <w:rPr>
      <w:rFonts w:ascii="Calibri" w:hAnsi="Calibri" w:eastAsia="Calibri" w:cs="" w:asciiTheme="minorHAnsi" w:cstheme="minorBidi" w:eastAsiaTheme="minorHAnsi" w:hAnsiTheme="minorHAnsi"/>
      <w:sz w:val="26"/>
      <w:szCs w:val="26"/>
      <w:lang w:eastAsia="en-US"/>
    </w:rPr>
  </w:style>
  <w:style w:type="paragraph" w:styleId="ConsPlusNormal" w:customStyle="1">
    <w:name w:val="ConsPlusNormal"/>
    <w:qFormat/>
    <w:rsid w:val="00d36abc"/>
    <w:pPr>
      <w:widowControl w:val="false"/>
      <w:suppressAutoHyphens w:val="true"/>
      <w:bidi w:val="0"/>
      <w:spacing w:lineRule="auto" w:line="240" w:before="0" w:after="0"/>
      <w:ind w:firstLine="720"/>
      <w:jc w:val="left"/>
    </w:pPr>
    <w:rPr>
      <w:rFonts w:ascii="Arial" w:hAnsi="Arial" w:eastAsia="Times New Roman" w:cs="Arial"/>
      <w:color w:val="auto"/>
      <w:kern w:val="0"/>
      <w:sz w:val="20"/>
      <w:szCs w:val="20"/>
      <w:lang w:val="ru-RU" w:eastAsia="ru-RU" w:bidi="ar-SA"/>
    </w:rPr>
  </w:style>
  <w:style w:type="paragraph" w:styleId="ConsPlusTitle" w:customStyle="1">
    <w:name w:val="ConsPlusTitle"/>
    <w:qFormat/>
    <w:rsid w:val="00d36abc"/>
    <w:pPr>
      <w:widowControl w:val="false"/>
      <w:suppressAutoHyphens w:val="true"/>
      <w:bidi w:val="0"/>
      <w:spacing w:lineRule="auto" w:line="240" w:before="0" w:after="0"/>
      <w:jc w:val="left"/>
    </w:pPr>
    <w:rPr>
      <w:rFonts w:ascii="Times New Roman" w:hAnsi="Times New Roman" w:eastAsia="Times New Roman" w:cs="Times New Roman"/>
      <w:b/>
      <w:color w:val="auto"/>
      <w:kern w:val="0"/>
      <w:sz w:val="24"/>
      <w:szCs w:val="20"/>
      <w:lang w:val="ru-RU" w:eastAsia="ru-RU" w:bidi="ar-SA"/>
    </w:rPr>
  </w:style>
  <w:style w:type="paragraph" w:styleId="ListParagraph">
    <w:name w:val="List Paragraph"/>
    <w:basedOn w:val="Normal"/>
    <w:uiPriority w:val="34"/>
    <w:qFormat/>
    <w:rsid w:val="00d36abc"/>
    <w:pPr>
      <w:widowControl w:val="false"/>
      <w:spacing w:before="0" w:after="0"/>
      <w:ind w:left="720" w:firstLine="300"/>
      <w:contextualSpacing/>
      <w:jc w:val="both"/>
    </w:pPr>
    <w:rPr/>
  </w:style>
  <w:style w:type="paragraph" w:styleId="12" w:customStyle="1">
    <w:name w:val="Абзац списка1"/>
    <w:basedOn w:val="Normal"/>
    <w:qFormat/>
    <w:rsid w:val="005f039b"/>
    <w:pPr>
      <w:spacing w:lineRule="auto" w:line="276" w:before="0" w:after="200"/>
      <w:ind w:left="720" w:hanging="0"/>
    </w:pPr>
    <w:rPr>
      <w:rFonts w:ascii="Calibri" w:hAnsi="Calibri"/>
      <w:sz w:val="22"/>
      <w:szCs w:val="22"/>
      <w:lang w:eastAsia="en-US"/>
    </w:rPr>
  </w:style>
  <w:style w:type="paragraph" w:styleId="Style28">
    <w:name w:val="Содержимое таблицы"/>
    <w:basedOn w:val="Normal"/>
    <w:qFormat/>
    <w:pPr>
      <w:suppressLineNumbers/>
    </w:pPr>
    <w:rPr/>
  </w:style>
  <w:style w:type="paragraph" w:styleId="Style29">
    <w:name w:val="Заголовок таблицы"/>
    <w:basedOn w:val="Style28"/>
    <w:qFormat/>
    <w:pPr>
      <w:suppressLineNumbers/>
      <w:jc w:val="center"/>
    </w:pPr>
    <w:rPr>
      <w:b/>
      <w:bCs/>
    </w:rPr>
  </w:style>
  <w:style w:type="paragraph" w:styleId="ConsPlusTitlePage">
    <w:name w:val="ConsPlusTitlePage"/>
    <w:qFormat/>
    <w:pPr>
      <w:widowControl w:val="false"/>
      <w:suppressAutoHyphens w:val="true"/>
      <w:bidi w:val="0"/>
      <w:spacing w:before="0" w:after="0"/>
      <w:jc w:val="left"/>
    </w:pPr>
    <w:rPr>
      <w:rFonts w:ascii="Tahoma" w:hAnsi="Tahoma" w:eastAsia="Arial" w:cs="Courier New"/>
      <w:b w:val="false"/>
      <w:i w:val="false"/>
      <w:strike w:val="false"/>
      <w:dstrike w:val="false"/>
      <w:color w:val="auto"/>
      <w:kern w:val="2"/>
      <w:sz w:val="24"/>
      <w:szCs w:val="24"/>
      <w:u w:val="none"/>
      <w:lang w:val="ru-RU" w:eastAsia="zh-CN" w:bidi="hi-IN"/>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oleObject" Target="embeddings/oleObject1.bin"/><Relationship Id="rId3" Type="http://schemas.openxmlformats.org/officeDocument/2006/relationships/image" Target="media/image1.wmf"/><Relationship Id="rId4" Type="http://schemas.openxmlformats.org/officeDocument/2006/relationships/hyperlink" Target="http://tso-garant-01.rosgvard.ru/document?id=71178804&amp;sub=0"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719</TotalTime>
  <Application>LibreOffice/7.5.6.2$Linux_X86_64 LibreOffice_project/50$Build-2</Application>
  <AppVersion>15.0000</AppVersion>
  <Pages>5</Pages>
  <Words>1965</Words>
  <Characters>13773</Characters>
  <CharactersWithSpaces>15655</CharactersWithSpaces>
  <Paragraphs>80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2019-12-13T14:05:00Z</dcterms:created>
  <dc:creator>Таланкин</dc:creator>
  <dc:description/>
  <dc:language>ru-RU</dc:language>
  <cp:lastModifiedBy/>
  <cp:lastPrinted>2022-11-25T10:34:19Z</cp:lastPrinted>
  <dcterms:modified xsi:type="dcterms:W3CDTF">2024-11-13T14:50:15Z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