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mbeddings/oleObject1.bin" ContentType="application/vnd.openxmlformats-officedocument.oleObject"/>
  <Override PartName="/word/media/image1.wmf" ContentType="image/x-wmf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pBdr>
          <w:top w:val="thinThickMediumGap" w:sz="24" w:space="1" w:color="000000"/>
          <w:left w:val="thinThickMediumGap" w:sz="24" w:space="7" w:color="000000"/>
          <w:bottom w:val="thickThinMediumGap" w:sz="24" w:space="0" w:color="000000"/>
          <w:right w:val="thickThinMediumGap" w:sz="24" w:space="4" w:color="000000"/>
        </w:pBdr>
        <w:tabs>
          <w:tab w:val="clear" w:pos="708"/>
          <w:tab w:val="left" w:pos="252" w:leader="none"/>
        </w:tabs>
        <w:jc w:val="both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</w:r>
    </w:p>
    <w:p>
      <w:pPr>
        <w:pStyle w:val="Normal"/>
        <w:pBdr>
          <w:top w:val="thinThickMediumGap" w:sz="24" w:space="1" w:color="000000"/>
          <w:left w:val="thinThickMediumGap" w:sz="24" w:space="7" w:color="000000"/>
          <w:bottom w:val="thickThinMediumGap" w:sz="24" w:space="0" w:color="000000"/>
          <w:right w:val="thickThinMediumGap" w:sz="24" w:space="4" w:color="000000"/>
        </w:pBdr>
        <w:tabs>
          <w:tab w:val="clear" w:pos="708"/>
          <w:tab w:val="left" w:pos="252" w:leader="none"/>
        </w:tabs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pBdr>
          <w:top w:val="thinThickMediumGap" w:sz="24" w:space="1" w:color="000000"/>
          <w:left w:val="thinThickMediumGap" w:sz="24" w:space="7" w:color="000000"/>
          <w:bottom w:val="thickThinMediumGap" w:sz="24" w:space="0" w:color="000000"/>
          <w:right w:val="thickThinMediumGap" w:sz="24" w:space="4" w:color="000000"/>
        </w:pBdr>
        <w:tabs>
          <w:tab w:val="clear" w:pos="708"/>
          <w:tab w:val="left" w:pos="252" w:leader="none"/>
        </w:tabs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Управление Росгвардии по Ивановской области</w:t>
      </w:r>
    </w:p>
    <w:p>
      <w:pPr>
        <w:pStyle w:val="Normal"/>
        <w:pBdr>
          <w:top w:val="thinThickMediumGap" w:sz="24" w:space="1" w:color="000000"/>
          <w:left w:val="thinThickMediumGap" w:sz="24" w:space="7" w:color="000000"/>
          <w:bottom w:val="thickThinMediumGap" w:sz="24" w:space="0" w:color="000000"/>
          <w:right w:val="thickThinMediumGap" w:sz="24" w:space="4" w:color="000000"/>
        </w:pBdr>
        <w:tabs>
          <w:tab w:val="clear" w:pos="708"/>
          <w:tab w:val="left" w:pos="0" w:leader="none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pBdr>
          <w:top w:val="thinThickMediumGap" w:sz="24" w:space="1" w:color="000000"/>
          <w:left w:val="thinThickMediumGap" w:sz="24" w:space="7" w:color="000000"/>
          <w:bottom w:val="thickThinMediumGap" w:sz="24" w:space="0" w:color="000000"/>
          <w:right w:val="thickThinMediumGap" w:sz="24" w:space="4" w:color="000000"/>
        </w:pBdr>
        <w:tabs>
          <w:tab w:val="clear" w:pos="708"/>
          <w:tab w:val="left" w:pos="0" w:leader="none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pBdr>
          <w:top w:val="thinThickMediumGap" w:sz="24" w:space="1" w:color="000000"/>
          <w:left w:val="thinThickMediumGap" w:sz="24" w:space="7" w:color="000000"/>
          <w:bottom w:val="thickThinMediumGap" w:sz="24" w:space="0" w:color="000000"/>
          <w:right w:val="thickThinMediumGap" w:sz="24" w:space="4" w:color="000000"/>
        </w:pBdr>
        <w:tabs>
          <w:tab w:val="clear" w:pos="708"/>
          <w:tab w:val="left" w:pos="0" w:leader="none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pBdr>
          <w:top w:val="thinThickMediumGap" w:sz="24" w:space="1" w:color="000000"/>
          <w:left w:val="thinThickMediumGap" w:sz="24" w:space="7" w:color="000000"/>
          <w:bottom w:val="thickThinMediumGap" w:sz="24" w:space="0" w:color="000000"/>
          <w:right w:val="thickThinMediumGap" w:sz="24" w:space="4" w:color="000000"/>
        </w:pBdr>
        <w:tabs>
          <w:tab w:val="clear" w:pos="708"/>
          <w:tab w:val="left" w:pos="0" w:leader="none"/>
        </w:tabs>
        <w:jc w:val="center"/>
        <w:rPr/>
      </w:pPr>
      <w:r>
        <w:rPr/>
        <w:object>
          <v:shapetype id="_x0000_tole_rId2" coordsize="21600,21600" o:spt="ole_rId2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le_rId2" type="_x0000_tole_rId2" style="width:253.5pt;height:232pt;mso-wrap-distance-right:0pt" filled="t" fillcolor="#FFFFFF" o:ole="">
            <v:imagedata r:id="rId3" o:title=""/>
          </v:shape>
          <o:OLEObject Type="Embed" ProgID="CorelDraw.Graphic.16" ShapeID="ole_rId2" DrawAspect="Content" ObjectID="_1263910017" r:id="rId2"/>
        </w:object>
      </w:r>
    </w:p>
    <w:p>
      <w:pPr>
        <w:pStyle w:val="Normal"/>
        <w:pBdr>
          <w:top w:val="thinThickMediumGap" w:sz="24" w:space="1" w:color="000000"/>
          <w:left w:val="thinThickMediumGap" w:sz="24" w:space="7" w:color="000000"/>
          <w:bottom w:val="thickThinMediumGap" w:sz="24" w:space="0" w:color="000000"/>
          <w:right w:val="thickThinMediumGap" w:sz="24" w:space="4" w:color="000000"/>
        </w:pBdr>
        <w:tabs>
          <w:tab w:val="clear" w:pos="708"/>
          <w:tab w:val="left" w:pos="0" w:leader="none"/>
        </w:tabs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pBdr>
          <w:top w:val="thinThickMediumGap" w:sz="24" w:space="1" w:color="000000"/>
          <w:left w:val="thinThickMediumGap" w:sz="24" w:space="7" w:color="000000"/>
          <w:bottom w:val="thickThinMediumGap" w:sz="24" w:space="0" w:color="000000"/>
          <w:right w:val="thickThinMediumGap" w:sz="24" w:space="4" w:color="000000"/>
        </w:pBd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pBdr>
          <w:top w:val="thinThickMediumGap" w:sz="24" w:space="1" w:color="000000"/>
          <w:left w:val="thinThickMediumGap" w:sz="24" w:space="7" w:color="000000"/>
          <w:bottom w:val="thickThinMediumGap" w:sz="24" w:space="0" w:color="000000"/>
          <w:right w:val="thickThinMediumGap" w:sz="24" w:space="4" w:color="000000"/>
        </w:pBd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pBdr>
          <w:top w:val="thinThickMediumGap" w:sz="24" w:space="1" w:color="000000"/>
          <w:left w:val="thinThickMediumGap" w:sz="24" w:space="7" w:color="000000"/>
          <w:bottom w:val="thickThinMediumGap" w:sz="24" w:space="0" w:color="000000"/>
          <w:right w:val="thickThinMediumGap" w:sz="24" w:space="4" w:color="000000"/>
        </w:pBd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pBdr>
          <w:top w:val="thinThickMediumGap" w:sz="24" w:space="1" w:color="000000"/>
          <w:left w:val="thinThickMediumGap" w:sz="24" w:space="7" w:color="000000"/>
          <w:bottom w:val="thickThinMediumGap" w:sz="24" w:space="0" w:color="000000"/>
          <w:right w:val="thickThinMediumGap" w:sz="24" w:space="4" w:color="000000"/>
        </w:pBdr>
        <w:jc w:val="center"/>
        <w:rPr>
          <w:sz w:val="28"/>
          <w:szCs w:val="28"/>
          <w:lang w:eastAsia="ar-SA"/>
        </w:rPr>
      </w:pPr>
      <w:r>
        <w:rPr>
          <w:bCs/>
          <w:sz w:val="28"/>
          <w:szCs w:val="28"/>
          <w:lang w:eastAsia="ar-SA"/>
        </w:rPr>
        <w:t>М</w:t>
      </w:r>
      <w:r>
        <w:rPr>
          <w:sz w:val="28"/>
          <w:szCs w:val="28"/>
          <w:lang w:eastAsia="ar-SA"/>
        </w:rPr>
        <w:t xml:space="preserve">етодические материалы по подготовке подконтрольных субъектов к плановым проверкам на 2025 год </w:t>
      </w:r>
    </w:p>
    <w:p>
      <w:pPr>
        <w:pStyle w:val="Normal"/>
        <w:pBdr>
          <w:top w:val="thinThickMediumGap" w:sz="24" w:space="1" w:color="000000"/>
          <w:left w:val="thinThickMediumGap" w:sz="24" w:space="7" w:color="000000"/>
          <w:bottom w:val="thickThinMediumGap" w:sz="24" w:space="0" w:color="000000"/>
          <w:right w:val="thickThinMediumGap" w:sz="24" w:space="4" w:color="000000"/>
        </w:pBdr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</w:r>
    </w:p>
    <w:p>
      <w:pPr>
        <w:pStyle w:val="Normal"/>
        <w:pBdr>
          <w:top w:val="thinThickMediumGap" w:sz="24" w:space="1" w:color="000000"/>
          <w:left w:val="thinThickMediumGap" w:sz="24" w:space="7" w:color="000000"/>
          <w:bottom w:val="thickThinMediumGap" w:sz="24" w:space="0" w:color="000000"/>
          <w:right w:val="thickThinMediumGap" w:sz="24" w:space="4" w:color="000000"/>
        </w:pBdr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</w:r>
    </w:p>
    <w:p>
      <w:pPr>
        <w:pStyle w:val="Normal"/>
        <w:pBdr>
          <w:top w:val="thinThickMediumGap" w:sz="24" w:space="1" w:color="000000"/>
          <w:left w:val="thinThickMediumGap" w:sz="24" w:space="7" w:color="000000"/>
          <w:bottom w:val="thickThinMediumGap" w:sz="24" w:space="0" w:color="000000"/>
          <w:right w:val="thickThinMediumGap" w:sz="24" w:space="4" w:color="000000"/>
        </w:pBdr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</w:r>
    </w:p>
    <w:p>
      <w:pPr>
        <w:pStyle w:val="Normal"/>
        <w:pBdr>
          <w:top w:val="thinThickMediumGap" w:sz="24" w:space="1" w:color="000000"/>
          <w:left w:val="thinThickMediumGap" w:sz="24" w:space="7" w:color="000000"/>
          <w:bottom w:val="thickThinMediumGap" w:sz="24" w:space="0" w:color="000000"/>
          <w:right w:val="thickThinMediumGap" w:sz="24" w:space="4" w:color="000000"/>
        </w:pBdr>
        <w:rPr>
          <w:bCs/>
          <w:sz w:val="28"/>
          <w:szCs w:val="28"/>
        </w:rPr>
      </w:pPr>
      <w:r>
        <w:rPr>
          <w:bCs/>
          <w:sz w:val="28"/>
          <w:szCs w:val="28"/>
        </w:rPr>
      </w:r>
    </w:p>
    <w:p>
      <w:pPr>
        <w:pStyle w:val="Normal"/>
        <w:pBdr>
          <w:top w:val="thinThickMediumGap" w:sz="24" w:space="1" w:color="000000"/>
          <w:left w:val="thinThickMediumGap" w:sz="24" w:space="7" w:color="000000"/>
          <w:bottom w:val="thickThinMediumGap" w:sz="24" w:space="0" w:color="000000"/>
          <w:right w:val="thickThinMediumGap" w:sz="24" w:space="4" w:color="000000"/>
        </w:pBd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ТЕМА: «</w:t>
      </w:r>
      <w:r>
        <w:rPr>
          <w:b/>
          <w:sz w:val="28"/>
          <w:szCs w:val="28"/>
          <w:lang w:eastAsia="en-US"/>
        </w:rPr>
        <w:t xml:space="preserve">Полномочия должностных лиц Росгвардии по осуществлению федерального государственного контроля (надзора) за деятельностью </w:t>
      </w:r>
      <w:r>
        <w:rPr>
          <w:b/>
          <w:bCs/>
          <w:i w:val="false"/>
          <w:iCs w:val="false"/>
          <w:sz w:val="28"/>
          <w:szCs w:val="28"/>
          <w:u w:val="none"/>
          <w:lang w:eastAsia="en-US"/>
        </w:rPr>
        <w:t>объектов топливно-энергетического комплекса»</w:t>
      </w:r>
    </w:p>
    <w:p>
      <w:pPr>
        <w:pStyle w:val="Normal"/>
        <w:pBdr>
          <w:top w:val="thinThickMediumGap" w:sz="24" w:space="1" w:color="000000"/>
          <w:left w:val="thinThickMediumGap" w:sz="24" w:space="7" w:color="000000"/>
          <w:bottom w:val="thickThinMediumGap" w:sz="24" w:space="0" w:color="000000"/>
          <w:right w:val="thickThinMediumGap" w:sz="24" w:space="4" w:color="000000"/>
        </w:pBd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pBdr>
          <w:top w:val="thinThickMediumGap" w:sz="24" w:space="1" w:color="000000"/>
          <w:left w:val="thinThickMediumGap" w:sz="24" w:space="7" w:color="000000"/>
          <w:bottom w:val="thickThinMediumGap" w:sz="24" w:space="0" w:color="000000"/>
          <w:right w:val="thickThinMediumGap" w:sz="24" w:space="4" w:color="000000"/>
        </w:pBd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pBdr>
          <w:top w:val="thinThickMediumGap" w:sz="24" w:space="1" w:color="000000"/>
          <w:left w:val="thinThickMediumGap" w:sz="24" w:space="7" w:color="000000"/>
          <w:bottom w:val="thickThinMediumGap" w:sz="24" w:space="0" w:color="000000"/>
          <w:right w:val="thickThinMediumGap" w:sz="24" w:space="4" w:color="000000"/>
        </w:pBd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pBdr>
          <w:top w:val="thinThickMediumGap" w:sz="24" w:space="1" w:color="000000"/>
          <w:left w:val="thinThickMediumGap" w:sz="24" w:space="7" w:color="000000"/>
          <w:bottom w:val="thickThinMediumGap" w:sz="24" w:space="0" w:color="000000"/>
          <w:right w:val="thickThinMediumGap" w:sz="24" w:space="4" w:color="000000"/>
        </w:pBd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pBdr>
          <w:top w:val="thinThickMediumGap" w:sz="24" w:space="1" w:color="000000"/>
          <w:left w:val="thinThickMediumGap" w:sz="24" w:space="7" w:color="000000"/>
          <w:bottom w:val="thickThinMediumGap" w:sz="24" w:space="0" w:color="000000"/>
          <w:right w:val="thickThinMediumGap" w:sz="24" w:space="4" w:color="000000"/>
        </w:pBdr>
        <w:spacing w:lineRule="auto" w:line="240"/>
        <w:jc w:val="center"/>
        <w:rPr>
          <w:b/>
          <w:bCs/>
          <w:sz w:val="24"/>
          <w:szCs w:val="28"/>
        </w:rPr>
      </w:pPr>
      <w:r>
        <w:rPr>
          <w:b/>
          <w:bCs/>
          <w:sz w:val="24"/>
          <w:szCs w:val="28"/>
        </w:rPr>
      </w:r>
    </w:p>
    <w:p>
      <w:pPr>
        <w:pStyle w:val="Normal"/>
        <w:pBdr>
          <w:top w:val="thinThickMediumGap" w:sz="24" w:space="1" w:color="000000"/>
          <w:left w:val="thinThickMediumGap" w:sz="24" w:space="7" w:color="000000"/>
          <w:bottom w:val="thickThinMediumGap" w:sz="24" w:space="0" w:color="000000"/>
          <w:right w:val="thickThinMediumGap" w:sz="24" w:space="4" w:color="000000"/>
        </w:pBdr>
        <w:spacing w:lineRule="auto" w:line="240"/>
        <w:jc w:val="center"/>
        <w:rPr>
          <w:b/>
          <w:bCs/>
          <w:sz w:val="24"/>
          <w:szCs w:val="28"/>
        </w:rPr>
      </w:pPr>
      <w:r>
        <w:rPr>
          <w:b/>
          <w:bCs/>
          <w:sz w:val="24"/>
          <w:szCs w:val="28"/>
        </w:rPr>
      </w:r>
    </w:p>
    <w:p>
      <w:pPr>
        <w:pStyle w:val="Normal"/>
        <w:pBdr>
          <w:top w:val="thinThickMediumGap" w:sz="24" w:space="1" w:color="000000"/>
          <w:left w:val="thinThickMediumGap" w:sz="24" w:space="7" w:color="000000"/>
          <w:bottom w:val="thickThinMediumGap" w:sz="24" w:space="0" w:color="000000"/>
          <w:right w:val="thickThinMediumGap" w:sz="24" w:space="4" w:color="000000"/>
        </w:pBdr>
        <w:spacing w:lineRule="auto" w:line="240"/>
        <w:jc w:val="center"/>
        <w:rPr>
          <w:b/>
          <w:bCs/>
          <w:sz w:val="24"/>
          <w:szCs w:val="28"/>
        </w:rPr>
      </w:pPr>
      <w:r>
        <w:rPr>
          <w:b/>
          <w:bCs/>
          <w:sz w:val="24"/>
          <w:szCs w:val="28"/>
        </w:rPr>
        <w:t>г. Иваново</w:t>
      </w:r>
    </w:p>
    <w:p>
      <w:pPr>
        <w:pStyle w:val="Normal"/>
        <w:pBdr>
          <w:top w:val="thinThickMediumGap" w:sz="24" w:space="1" w:color="000000"/>
          <w:left w:val="thinThickMediumGap" w:sz="24" w:space="7" w:color="000000"/>
          <w:bottom w:val="thickThinMediumGap" w:sz="24" w:space="0" w:color="000000"/>
          <w:right w:val="thickThinMediumGap" w:sz="24" w:space="4" w:color="000000"/>
        </w:pBdr>
        <w:spacing w:lineRule="auto" w:line="240"/>
        <w:jc w:val="center"/>
        <w:rPr>
          <w:b/>
          <w:bCs/>
          <w:sz w:val="24"/>
          <w:szCs w:val="28"/>
        </w:rPr>
      </w:pPr>
      <w:r>
        <w:rPr>
          <w:b/>
          <w:bCs/>
          <w:sz w:val="24"/>
          <w:szCs w:val="28"/>
        </w:rPr>
      </w:r>
    </w:p>
    <w:p>
      <w:pPr>
        <w:pStyle w:val="Normal"/>
        <w:spacing w:lineRule="auto" w:line="216"/>
        <w:ind w:left="4395" w:hanging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8"/>
          <w:tab w:val="left" w:pos="709" w:leader="none"/>
        </w:tabs>
        <w:ind w:left="5103" w:hanging="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8"/>
          <w:tab w:val="left" w:pos="709" w:leader="none"/>
        </w:tabs>
        <w:ind w:left="5103" w:hanging="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8"/>
          <w:tab w:val="left" w:pos="709" w:leader="none"/>
        </w:tabs>
        <w:ind w:left="5103" w:hanging="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8"/>
          <w:tab w:val="left" w:pos="709" w:leader="none"/>
        </w:tabs>
        <w:ind w:left="5103" w:hanging="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8"/>
          <w:tab w:val="left" w:pos="709" w:leader="none"/>
        </w:tabs>
        <w:ind w:left="5103" w:hanging="0"/>
        <w:jc w:val="both"/>
        <w:rPr>
          <w:sz w:val="28"/>
          <w:szCs w:val="28"/>
        </w:rPr>
      </w:pPr>
      <w:r>
        <w:rPr>
          <w:sz w:val="28"/>
          <w:szCs w:val="28"/>
        </w:rPr>
      </w:r>
    </w:p>
    <w:tbl>
      <w:tblPr>
        <w:tblW w:w="11058" w:type="dxa"/>
        <w:jc w:val="left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 w:noHBand="0" w:noVBand="0" w:firstColumn="1" w:lastRow="1" w:lastColumn="1" w:firstRow="1"/>
      </w:tblPr>
      <w:tblGrid>
        <w:gridCol w:w="11058"/>
      </w:tblGrid>
      <w:tr>
        <w:trPr>
          <w:trHeight w:val="269" w:hRule="atLeast"/>
        </w:trPr>
        <w:tc>
          <w:tcPr>
            <w:tcW w:w="1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Список нормативно-правовых актов по обеспечению безопасности и антитеррористической защищенности объектов топливно-энергетического комплекса</w:t>
            </w:r>
          </w:p>
          <w:p>
            <w:pPr>
              <w:pStyle w:val="Normal"/>
              <w:widowControl w:val="fals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</w:r>
          </w:p>
          <w:p>
            <w:pPr>
              <w:pStyle w:val="Normal"/>
              <w:widowControl w:val="false"/>
              <w:numPr>
                <w:ilvl w:val="0"/>
                <w:numId w:val="1"/>
              </w:numPr>
              <w:suppressAutoHyphens w:val="true"/>
              <w:bidi w:val="0"/>
              <w:spacing w:lineRule="auto" w:line="240" w:before="0" w:after="0"/>
              <w:ind w:left="737" w:right="283" w:hanging="34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Федеральный закон от 21.07.2011 № 256-ФЗ «О безопасности объектов ТЭК».</w:t>
            </w:r>
          </w:p>
          <w:p>
            <w:pPr>
              <w:pStyle w:val="Normal"/>
              <w:widowControl w:val="false"/>
              <w:numPr>
                <w:ilvl w:val="0"/>
                <w:numId w:val="1"/>
              </w:numPr>
              <w:suppressAutoHyphens w:val="true"/>
              <w:bidi w:val="0"/>
              <w:spacing w:lineRule="auto" w:line="240" w:before="0" w:after="0"/>
              <w:ind w:left="737" w:right="283" w:hanging="34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Федеральный закон от 03.07.2016 № 226-ФЗ «О войсках национальной гвардии Российской Федерации».</w:t>
            </w:r>
          </w:p>
          <w:p>
            <w:pPr>
              <w:pStyle w:val="Normal"/>
              <w:widowControl w:val="false"/>
              <w:numPr>
                <w:ilvl w:val="0"/>
                <w:numId w:val="1"/>
              </w:numPr>
              <w:suppressAutoHyphens w:val="true"/>
              <w:bidi w:val="0"/>
              <w:spacing w:lineRule="auto" w:line="240" w:before="0" w:after="0"/>
              <w:ind w:left="737" w:right="283" w:hanging="34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Постановление Правительства РФ от 21.05.2007 № 304 «О классификации чрезвычайных ситуациях природного и техногенного характера».</w:t>
            </w:r>
          </w:p>
          <w:p>
            <w:pPr>
              <w:pStyle w:val="Normal"/>
              <w:widowControl w:val="false"/>
              <w:numPr>
                <w:ilvl w:val="0"/>
                <w:numId w:val="1"/>
              </w:numPr>
              <w:suppressAutoHyphens w:val="true"/>
              <w:bidi w:val="0"/>
              <w:spacing w:lineRule="auto" w:line="240" w:before="0" w:after="0"/>
              <w:ind w:left="737" w:right="283" w:hanging="34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shd w:fill="auto" w:val="clear"/>
                <w:lang w:bidi="ru-RU"/>
              </w:rPr>
              <w:t xml:space="preserve">Постановление Правительства РФ </w:t>
            </w:r>
            <w:r>
              <w:rPr>
                <w:rFonts w:cs="Times New Roman"/>
                <w:b w:val="false"/>
                <w:bCs w:val="false"/>
                <w:sz w:val="26"/>
                <w:szCs w:val="26"/>
                <w:u w:val="none"/>
                <w:shd w:fill="auto" w:val="clear"/>
                <w:lang w:bidi="ru-RU"/>
              </w:rPr>
              <w:t>от 3 августа 2024 года № 1046 «Об утверждении требований обеспечения безопасности и антитеррористической защищенности объектов топливно-энергетического комплекса»</w:t>
            </w:r>
            <w:r>
              <w:rPr>
                <w:sz w:val="26"/>
                <w:szCs w:val="26"/>
                <w:shd w:fill="auto" w:val="clear"/>
                <w:lang w:bidi="ru-RU"/>
              </w:rPr>
              <w:t>.</w:t>
            </w:r>
          </w:p>
          <w:p>
            <w:pPr>
              <w:pStyle w:val="Normal"/>
              <w:widowControl w:val="false"/>
              <w:numPr>
                <w:ilvl w:val="0"/>
                <w:numId w:val="1"/>
              </w:numPr>
              <w:suppressAutoHyphens w:val="true"/>
              <w:bidi w:val="0"/>
              <w:spacing w:lineRule="auto" w:line="240" w:before="0" w:after="0"/>
              <w:ind w:left="737" w:right="283" w:hanging="34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Постановление Правительства РФ от 05.05.2012 № 459 «Об утверждении Положения об исходных данных для проведения категорирования объекта топливно-энергетического комплекса, порядке его проведения и критериях категорирования».</w:t>
            </w:r>
          </w:p>
          <w:p>
            <w:pPr>
              <w:pStyle w:val="Normal"/>
              <w:widowControl w:val="false"/>
              <w:numPr>
                <w:ilvl w:val="0"/>
                <w:numId w:val="1"/>
              </w:numPr>
              <w:suppressAutoHyphens w:val="true"/>
              <w:bidi w:val="0"/>
              <w:spacing w:lineRule="auto" w:line="240" w:before="0" w:after="0"/>
              <w:ind w:left="737" w:right="283" w:hanging="34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Постановление Правительства РФ от 05.05.2012 № 460 «Об утверждении Правил актуализации паспорта безопасности объекта топливно-энергетического комплекса».</w:t>
            </w:r>
          </w:p>
          <w:p>
            <w:pPr>
              <w:pStyle w:val="Normal"/>
              <w:widowControl w:val="false"/>
              <w:numPr>
                <w:ilvl w:val="0"/>
                <w:numId w:val="1"/>
              </w:numPr>
              <w:suppressAutoHyphens w:val="true"/>
              <w:bidi w:val="0"/>
              <w:spacing w:lineRule="auto" w:line="240" w:before="0" w:after="0"/>
              <w:ind w:left="737" w:right="283" w:hanging="34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Постановление Правительства РФ от 02.10.2013 № 861 «Об утверждении Правил информирования субъектами топливно-энергетического комплекса об угрозах совершения актов незаконного вмешательства на объектах топливно-энергетического комплекса».</w:t>
            </w:r>
          </w:p>
          <w:p>
            <w:pPr>
              <w:pStyle w:val="Normal"/>
              <w:widowControl w:val="false"/>
              <w:numPr>
                <w:ilvl w:val="0"/>
                <w:numId w:val="1"/>
              </w:numPr>
              <w:suppressAutoHyphens w:val="true"/>
              <w:bidi w:val="0"/>
              <w:spacing w:lineRule="auto" w:line="240" w:before="0" w:after="0"/>
              <w:ind w:left="737" w:right="283" w:hanging="34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Постановление Правительства РФ от 12.05.2023 № 740 «Об утверждении Правил осуществления федерального государственного контроля (надзора) за обеспечением безопасности объектов топливно-энергетического комплекса, которым присвоена категория опасности, и о признании утратившими силу некоторых актов Правительства Российской Федерации».</w:t>
            </w:r>
          </w:p>
          <w:p>
            <w:pPr>
              <w:pStyle w:val="Normal"/>
              <w:widowControl w:val="false"/>
              <w:numPr>
                <w:ilvl w:val="0"/>
                <w:numId w:val="1"/>
              </w:numPr>
              <w:suppressAutoHyphens w:val="true"/>
              <w:bidi w:val="0"/>
              <w:spacing w:lineRule="auto" w:line="240" w:before="0" w:after="0"/>
              <w:ind w:left="737" w:right="283" w:hanging="34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shd w:fill="auto" w:val="clear"/>
                <w:lang w:bidi="ru-RU"/>
              </w:rPr>
              <w:t>Постановление Правительства РФ от 09.11.2022 № 2011 «</w:t>
            </w:r>
            <w:r>
              <w:rPr>
                <w:rFonts w:eastAsia="Calibri" w:cs="Times New Roman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outline w:val="false"/>
                <w:shadow w:val="false"/>
                <w:color w:val="000000"/>
                <w:spacing w:val="0"/>
                <w:kern w:val="0"/>
                <w:sz w:val="26"/>
                <w:szCs w:val="26"/>
                <w:u w:val="none"/>
                <w:shd w:fill="auto" w:val="clear"/>
                <w:em w:val="none"/>
                <w:lang w:val="ru-RU" w:eastAsia="en-US" w:bidi="ru-RU"/>
              </w:rPr>
              <w:t>Об утверждении Правил проверки субъектом топливно-энергетического комплекса сведений, указанных в статье 10 Федерального закона «О безопасности объектов топливно-энергетического комплекса», в отношении физических лиц, выполняющих работу, непосредственно связанную с обеспечением безопасности объектов топливно-энергетического комплекса, по трудовым договорам или гражданско-правовым договорам, заключенным с субъектом топливно-энергетического комплекса, и перечня сведений, указанных в статье 10 Федерального закона «О безопасности объектов топливно-энергетического комплекса», представляемых физическими лицами, выполняющими работу, непосредственно связанную с обеспечением безопасности объектов топливно-энергетического комплекса, по трудовым договорам или гражданско-правовым договорам, заключенным с субъектом топливно-энергетического комплекса</w:t>
            </w:r>
            <w:r>
              <w:rPr>
                <w:rFonts w:eastAsia="Calibri" w:cs="Times New Roman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6"/>
                <w:szCs w:val="26"/>
                <w:u w:val="none"/>
                <w:shd w:fill="auto" w:val="clear"/>
                <w:em w:val="none"/>
                <w:lang w:val="ru-RU" w:eastAsia="en-US" w:bidi="ar-SA"/>
              </w:rPr>
              <w:t>».</w:t>
            </w:r>
          </w:p>
          <w:p>
            <w:pPr>
              <w:pStyle w:val="Normal"/>
              <w:widowControl w:val="false"/>
              <w:numPr>
                <w:ilvl w:val="0"/>
                <w:numId w:val="1"/>
              </w:numPr>
              <w:suppressAutoHyphens w:val="true"/>
              <w:bidi w:val="0"/>
              <w:spacing w:lineRule="auto" w:line="240" w:before="0" w:after="0"/>
              <w:ind w:left="737" w:right="283" w:hanging="34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shd w:fill="auto" w:val="clear"/>
                <w:lang w:bidi="ru-RU"/>
              </w:rPr>
              <w:t>Приказ Министерства энергетики РФ от 10.02.2012 № 48 «Об утверждении методических рекомендаций по включению объектов ТЭК в перечень объектов, подлежащих категорированию».</w:t>
            </w:r>
          </w:p>
          <w:p>
            <w:pPr>
              <w:pStyle w:val="Normal"/>
              <w:widowControl w:val="false"/>
              <w:numPr>
                <w:ilvl w:val="0"/>
                <w:numId w:val="1"/>
              </w:numPr>
              <w:suppressAutoHyphens w:val="true"/>
              <w:bidi w:val="0"/>
              <w:spacing w:lineRule="auto" w:line="240" w:before="0" w:after="0"/>
              <w:ind w:left="737" w:right="283" w:hanging="340"/>
              <w:jc w:val="both"/>
              <w:rPr>
                <w:sz w:val="26"/>
                <w:szCs w:val="26"/>
              </w:rPr>
            </w:pPr>
            <w:r>
              <w:rPr>
                <w:rFonts w:eastAsia="Tahoma"/>
                <w:sz w:val="26"/>
                <w:szCs w:val="26"/>
                <w:shd w:fill="auto" w:val="clear"/>
                <w:lang w:bidi="ru-RU"/>
              </w:rPr>
              <w:t>Приказ Министерства энергетики РФ от 13.12.2011 N 587 "Об утверждении перечня работ, непосредственно связанных с обеспечением безопасности объектов топливно-энергетического комплекса".</w:t>
            </w:r>
          </w:p>
          <w:p>
            <w:pPr>
              <w:pStyle w:val="Normal"/>
              <w:widowControl w:val="false"/>
              <w:numPr>
                <w:ilvl w:val="0"/>
                <w:numId w:val="1"/>
              </w:numPr>
              <w:suppressAutoHyphens w:val="true"/>
              <w:bidi w:val="0"/>
              <w:spacing w:lineRule="auto" w:line="240" w:before="0" w:after="0"/>
              <w:ind w:left="737" w:right="283" w:hanging="34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Распоряжение Правительства РФ от 03.12.2022 № 3722-р «Об утверждении формы паспорта безопасности объекта топливно-энергетического комплекса».</w:t>
            </w:r>
          </w:p>
          <w:p>
            <w:pPr>
              <w:pStyle w:val="Normal"/>
              <w:widowControl w:val="false"/>
              <w:ind w:left="720" w:right="175" w:hanging="360"/>
              <w:jc w:val="both"/>
              <w:rPr>
                <w:sz w:val="26"/>
                <w:szCs w:val="26"/>
                <w:lang w:bidi="ru-RU"/>
              </w:rPr>
            </w:pPr>
            <w:r>
              <w:rPr>
                <w:sz w:val="26"/>
                <w:szCs w:val="26"/>
                <w:lang w:bidi="ru-RU"/>
              </w:rPr>
            </w:r>
          </w:p>
          <w:p>
            <w:pPr>
              <w:pStyle w:val="ListParagraph"/>
              <w:widowControl w:val="false"/>
              <w:numPr>
                <w:ilvl w:val="0"/>
                <w:numId w:val="0"/>
              </w:numPr>
              <w:ind w:left="1137" w:right="175" w:hanging="0"/>
              <w:jc w:val="center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  <w:u w:val="single"/>
              </w:rPr>
              <w:t xml:space="preserve">Порядок </w:t>
            </w:r>
            <w:r>
              <w:rPr>
                <w:b/>
                <w:sz w:val="26"/>
                <w:szCs w:val="26"/>
                <w:u w:val="single"/>
                <w:lang w:eastAsia="en-US"/>
              </w:rPr>
              <w:t xml:space="preserve">осуществления федерального государственного контроля (надзора) </w:t>
            </w:r>
            <w:r>
              <w:rPr>
                <w:b/>
                <w:sz w:val="26"/>
                <w:szCs w:val="26"/>
                <w:u w:val="single"/>
              </w:rPr>
              <w:t>по обеспечению безопасности и антитеррористической защищенности объектов топливно-энергетического комплекса</w:t>
            </w:r>
          </w:p>
          <w:p>
            <w:pPr>
              <w:pStyle w:val="ListParagraph"/>
              <w:widowControl w:val="false"/>
              <w:numPr>
                <w:ilvl w:val="0"/>
                <w:numId w:val="0"/>
              </w:numPr>
              <w:ind w:left="1137" w:right="175" w:hanging="0"/>
              <w:jc w:val="center"/>
              <w:rPr>
                <w:b/>
                <w:sz w:val="26"/>
                <w:szCs w:val="26"/>
                <w:lang w:eastAsia="en-US"/>
              </w:rPr>
            </w:pPr>
            <w:r>
              <w:rPr>
                <w:b/>
                <w:sz w:val="26"/>
                <w:szCs w:val="26"/>
                <w:lang w:eastAsia="en-US"/>
              </w:rPr>
            </w:r>
          </w:p>
          <w:p>
            <w:pPr>
              <w:pStyle w:val="Normal"/>
              <w:widowControl w:val="false"/>
              <w:ind w:firstLine="4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shd w:fill="auto" w:val="clear"/>
              </w:rPr>
              <w:t>Государственный контроль осуществляется посредством проведения проверок объектов топливно-энергетического комплекса, а также профилактических мероприятий, направленных на предупреждение нарушений обязательных требований.</w:t>
            </w:r>
          </w:p>
          <w:p>
            <w:pPr>
              <w:pStyle w:val="Normal"/>
              <w:widowControl w:val="false"/>
              <w:ind w:firstLine="4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shd w:fill="auto" w:val="clear"/>
              </w:rPr>
              <w:t>Основанием для начала плановой проверки соблюдения обязательных требований является наступление срока проведения плановой проверки в соответствии с Планом проверок, утвержденным руководителем территориального органа Федеральной службы войск национальной гвардии Российской Федерации по субъекту Российской Федерации по согласованию с антитеррористической комиссией в субъекте Российской Федерации.</w:t>
            </w:r>
          </w:p>
          <w:p>
            <w:pPr>
              <w:pStyle w:val="Normal"/>
              <w:widowControl w:val="false"/>
              <w:ind w:firstLine="4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shd w:fill="auto" w:val="clear"/>
              </w:rPr>
              <w:t>План проверок доводится до сведения заинтересованных лиц посредством его размещения на официальном сайте органа государственного контроля (надзора) в сети "Интернет".</w:t>
            </w:r>
          </w:p>
          <w:p>
            <w:pPr>
              <w:pStyle w:val="Normal"/>
              <w:widowControl w:val="false"/>
              <w:ind w:firstLine="4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shd w:fill="auto" w:val="clear"/>
              </w:rPr>
              <w:t>Предметом плановой проверки является оценка соблюдения субъектом топливно-энергетического комплекса обязательных требований.</w:t>
            </w:r>
          </w:p>
          <w:p>
            <w:pPr>
              <w:pStyle w:val="Normal"/>
              <w:widowControl w:val="false"/>
              <w:ind w:firstLine="4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shd w:fill="auto" w:val="clear"/>
              </w:rPr>
              <w:t>Плановая проверка проводится не чаще одного раза в год для объектов топливно-энергетического комплекса высокой категории опасности, одного раза в 2 года - для объектов топливно-энергетического комплекса средней категории опасности и одного раза в 3 года - для объектов топливно-энергетического комплекса низкой категории опасности, начиная с даты окончания предыдущей плановой проверки.</w:t>
            </w:r>
          </w:p>
          <w:p>
            <w:pPr>
              <w:pStyle w:val="Normal"/>
              <w:widowControl w:val="false"/>
              <w:ind w:firstLine="460"/>
              <w:jc w:val="both"/>
              <w:rPr>
                <w:sz w:val="26"/>
                <w:szCs w:val="26"/>
              </w:rPr>
            </w:pPr>
            <w:r>
              <w:rPr>
                <w:strike w:val="false"/>
                <w:dstrike w:val="false"/>
                <w:color w:val="000000"/>
                <w:sz w:val="26"/>
                <w:szCs w:val="26"/>
                <w:shd w:fill="auto" w:val="clear"/>
              </w:rPr>
              <w:t>В случае присвоения или изменения существующей категории опасности объекта топливно-энергетического комплекса плановая проверка проводится не ранее 3 месяцев со дня такого присвоения (изменения).</w:t>
            </w:r>
          </w:p>
          <w:p>
            <w:pPr>
              <w:pStyle w:val="Normal"/>
              <w:widowControl w:val="false"/>
              <w:ind w:firstLine="4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shd w:fill="auto" w:val="clear"/>
              </w:rPr>
              <w:t>О проведении плановой проверки субъекты топливно-энергетического комплекса уведомляются органом государственного контроля (надзора) не позднее чем за три рабочих дня до начала ее проведения посредством направления заказным почтовым отправлением с уведомлением о вручении, информационного письма с приложением выписки из ежегодного плана проведения плановых проверок.</w:t>
            </w:r>
          </w:p>
          <w:p>
            <w:pPr>
              <w:pStyle w:val="Normal"/>
              <w:widowControl w:val="false"/>
              <w:ind w:firstLine="4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shd w:fill="auto" w:val="clear"/>
              </w:rPr>
              <w:t>Срок проведения проверки не может превышать двадцать рабочих дней.</w:t>
            </w:r>
          </w:p>
          <w:p>
            <w:pPr>
              <w:pStyle w:val="Normal"/>
              <w:widowControl w:val="false"/>
              <w:ind w:firstLine="4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shd w:fill="auto" w:val="clear"/>
              </w:rPr>
              <w:t>При проведении проверок субъект топливно-энергетического комплекса обязан обеспечить присутствие уполномоченного представителя субъекта топливно-энергетического комплекса.</w:t>
            </w:r>
          </w:p>
          <w:p>
            <w:pPr>
              <w:pStyle w:val="Normal"/>
              <w:widowControl w:val="false"/>
              <w:ind w:firstLine="460"/>
              <w:jc w:val="both"/>
              <w:rPr>
                <w:sz w:val="26"/>
                <w:szCs w:val="26"/>
              </w:rPr>
            </w:pPr>
            <w:bookmarkStart w:id="0" w:name="sub_10311"/>
            <w:bookmarkEnd w:id="0"/>
            <w:r>
              <w:rPr>
                <w:sz w:val="26"/>
                <w:szCs w:val="26"/>
                <w:shd w:fill="auto" w:val="clear"/>
              </w:rPr>
              <w:t>При проведении плановой проверки не подлежат оценке нарушения обязательных требований, срок устранения которых к дате окончания плановой проверки не истек.</w:t>
            </w:r>
          </w:p>
          <w:p>
            <w:pPr>
              <w:pStyle w:val="Normal"/>
              <w:widowControl w:val="false"/>
              <w:ind w:firstLine="4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shd w:fill="auto" w:val="clear"/>
              </w:rPr>
              <w:t>Уполномоченный представитель субъекта топливно-энергетического комплекса при проведении проверки имеет право давать пояснения по вопросам, относящимся к предмету проверки; получать от органа государственного контроля (надзора) и его должностных лиц информацию, которая относится к предмету проверки.</w:t>
            </w:r>
          </w:p>
          <w:p>
            <w:pPr>
              <w:pStyle w:val="Normal"/>
              <w:widowControl w:val="false"/>
              <w:ind w:firstLine="4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shd w:fill="auto" w:val="clear"/>
              </w:rPr>
              <w:t>Уполномоченный представитель субъекта топливно-энергетического комплекса обязан предоставить должностным лицам органа государственного контроля (надзора), проводящим выездную проверку, возможность ознакомиться с документами, связанными с целями, задачами и предметом выездной проверки, а также обеспечить доступ проводящих выездную проверку должностных лиц органа государственного контроля (надзора) на территорию, здания, строения, сооружения и помещения объекта топливно-энергетического комплекса.</w:t>
            </w:r>
          </w:p>
          <w:p>
            <w:pPr>
              <w:pStyle w:val="Normal"/>
              <w:widowControl w:val="false"/>
              <w:ind w:firstLine="4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shd w:fill="auto" w:val="clear"/>
              </w:rPr>
              <w:t>Результатом проверки является установление факта отсутствия (наличия) нарушений обязательных требований.</w:t>
            </w:r>
          </w:p>
          <w:p>
            <w:pPr>
              <w:pStyle w:val="Normal"/>
              <w:widowControl w:val="false"/>
              <w:ind w:firstLine="4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shd w:fill="auto" w:val="clear"/>
              </w:rPr>
              <w:t>В день завершения проверки оформляется акт проверки в 2 экземплярах, один из которых с копиями приложений вручается уполномоченному представителю субъекта топливно-энергетического комплекса под расписку об ознакомлении.</w:t>
            </w:r>
          </w:p>
          <w:p>
            <w:pPr>
              <w:pStyle w:val="Normal"/>
              <w:widowControl w:val="false"/>
              <w:ind w:firstLine="4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shd w:fill="auto" w:val="clear"/>
              </w:rPr>
              <w:t>В случае выявления при проведении проверки нарушений субъектом топливно-энергетического комплекса требований обеспечения безопасности должностные лица органа государственного контроля (надзора), проводившие проверку, в пределах полномочий, предусмотренных законодательством Российской Федерации, обязаны:</w:t>
            </w:r>
          </w:p>
          <w:p>
            <w:pPr>
              <w:pStyle w:val="Normal"/>
              <w:widowControl w:val="false"/>
              <w:ind w:firstLine="460"/>
              <w:jc w:val="both"/>
              <w:rPr>
                <w:sz w:val="26"/>
                <w:szCs w:val="26"/>
              </w:rPr>
            </w:pPr>
            <w:bookmarkStart w:id="1" w:name="Par121"/>
            <w:bookmarkEnd w:id="1"/>
            <w:r>
              <w:rPr>
                <w:sz w:val="26"/>
                <w:szCs w:val="26"/>
                <w:shd w:fill="auto" w:val="clear"/>
              </w:rPr>
              <w:t xml:space="preserve">а) </w:t>
            </w:r>
            <w:r>
              <w:rPr>
                <w:sz w:val="26"/>
                <w:szCs w:val="26"/>
                <w:u w:val="none"/>
                <w:shd w:fill="auto" w:val="clear"/>
              </w:rPr>
              <w:t xml:space="preserve">выдать предписание </w:t>
            </w:r>
            <w:bookmarkStart w:id="2" w:name="_GoBack"/>
            <w:r>
              <w:rPr>
                <w:sz w:val="26"/>
                <w:szCs w:val="26"/>
                <w:u w:val="none"/>
                <w:shd w:fill="auto" w:val="clear"/>
              </w:rPr>
              <w:t xml:space="preserve">уполномоченному представителю субъекта </w:t>
            </w:r>
            <w:bookmarkEnd w:id="2"/>
            <w:r>
              <w:rPr>
                <w:sz w:val="26"/>
                <w:szCs w:val="26"/>
                <w:u w:val="none"/>
                <w:shd w:fill="auto" w:val="clear"/>
              </w:rPr>
              <w:t>топливно-энергетического комплекса об устранении выявленных нарушений в обеспечении безопасности объектов топливно-энергетического комплекса;</w:t>
            </w:r>
          </w:p>
          <w:p>
            <w:pPr>
              <w:pStyle w:val="Normal"/>
              <w:widowControl w:val="false"/>
              <w:ind w:firstLine="460"/>
              <w:jc w:val="both"/>
              <w:rPr/>
            </w:pPr>
            <w:r>
              <w:rPr>
                <w:color w:val="000000"/>
                <w:sz w:val="26"/>
                <w:szCs w:val="26"/>
                <w:shd w:fill="auto" w:val="clear"/>
              </w:rPr>
              <w:t xml:space="preserve">б) составить протокол об административном правонарушении за нарушение требований обеспечения безопасности объектов топливно-энергетического комплекса в порядке и по основаниям, которые предусмотрены </w:t>
            </w:r>
            <w:hyperlink r:id="rId4">
              <w:r>
                <w:rPr>
                  <w:color w:val="000000"/>
                  <w:sz w:val="26"/>
                  <w:szCs w:val="26"/>
                  <w:shd w:fill="auto" w:val="clear"/>
                </w:rPr>
                <w:t>Кодексом</w:t>
              </w:r>
            </w:hyperlink>
            <w:r>
              <w:rPr>
                <w:color w:val="000000"/>
                <w:sz w:val="26"/>
                <w:szCs w:val="26"/>
                <w:shd w:fill="auto" w:val="clear"/>
              </w:rPr>
              <w:t xml:space="preserve"> Российской Федерации об административных правонарушениях;</w:t>
            </w:r>
          </w:p>
          <w:p>
            <w:pPr>
              <w:pStyle w:val="Normal"/>
              <w:widowControl w:val="false"/>
              <w:ind w:firstLine="460"/>
              <w:jc w:val="both"/>
              <w:rPr>
                <w:sz w:val="26"/>
                <w:szCs w:val="26"/>
              </w:rPr>
            </w:pPr>
            <w:bookmarkStart w:id="3" w:name="sub_103111"/>
            <w:bookmarkEnd w:id="3"/>
            <w:r>
              <w:rPr>
                <w:sz w:val="26"/>
                <w:szCs w:val="26"/>
                <w:shd w:fill="auto" w:val="clear"/>
              </w:rPr>
              <w:t>в) принять меры по контролю за устранением выявленных нарушений в обеспечении безопасности объектов топливно-энергетического комплекса, их предупреждению и предотвращению.</w:t>
            </w:r>
          </w:p>
          <w:p>
            <w:pPr>
              <w:pStyle w:val="Normal"/>
              <w:widowControl w:val="false"/>
              <w:ind w:firstLine="4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shd w:fill="auto" w:val="clear"/>
              </w:rPr>
              <w:t>В журнале учета проверок должностными лицами органа государственного контроля (надзора) осуществляется запись о проведенной проверке.</w:t>
            </w:r>
          </w:p>
          <w:p>
            <w:pPr>
              <w:pStyle w:val="Normal"/>
              <w:widowControl w:val="false"/>
              <w:ind w:firstLine="4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shd w:fill="auto" w:val="clear"/>
              </w:rPr>
              <w:t>В случае несогласия с выводами и предложениями, изложенными в акте проверки и (или) предписании об устранении выявленных нарушений, уполномоченный представитель субъекта топливно-энергетического комплекса вправе представить в соответствующий орган государственного контроля (надзора) возражения в письменной форме в течение 10 рабочих дней со дня окончания проверки и приложить документы, подтверждающие их обоснованность, или их заверенные копии.</w:t>
            </w:r>
          </w:p>
          <w:p>
            <w:pPr>
              <w:pStyle w:val="Normal"/>
              <w:widowControl w:val="false"/>
              <w:ind w:firstLine="4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shd w:fill="auto" w:val="clear"/>
              </w:rPr>
              <w:t>В случае невозможности исполнения предписания по причинам, не зависящим от субъекта топливно-энергетического комплекса, начальник Управления Росгвардии по Ивановской области при поступлении в орган государственного контроля (надзора) не позднее чем за 10 рабочих дней до истечения срока исполнения предписания, мотивированного обращения субъекта топливно-энергетического комплекса, вправе продлить срок исполнения указанного предписания, но не более чем на один год, уведомив субъекта топливно-энергетического комплекса о принятии такого решения в течение 30 календарных дней со дня регистрации указанного обращения.</w:t>
            </w:r>
          </w:p>
          <w:p>
            <w:pPr>
              <w:pStyle w:val="Normal"/>
              <w:widowControl w:val="false"/>
              <w:ind w:firstLine="4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shd w:fill="auto" w:val="clear"/>
              </w:rPr>
              <w:t>При осуществлении государственного контроля могут проводиться профилактические мероприятия: консультирование и профилактический визит.</w:t>
            </w:r>
          </w:p>
          <w:p>
            <w:pPr>
              <w:pStyle w:val="Normal"/>
              <w:widowControl w:val="false"/>
              <w:ind w:firstLine="4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shd w:fill="auto" w:val="clear"/>
              </w:rPr>
              <w:t>Консультирование уполномоченного представителя субъекта топливно-энергетического комплекса осуществляется должностным лицом органа государственного контроля по вопросам, связанным с организацией и осуществлением государственного контроля, без взимания платы по телефону, посредством видео-конференц-связи, на личном приеме либо в ходе проведения профилактического визита, плановой и внеплановой проверок.</w:t>
            </w:r>
          </w:p>
          <w:p>
            <w:pPr>
              <w:pStyle w:val="Normal"/>
              <w:widowControl w:val="false"/>
              <w:ind w:firstLine="4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shd w:fill="auto" w:val="clear"/>
              </w:rPr>
              <w:t>Профилактический визит проводится должностным лицом органа государственного контроля на основании письменного обращения субъекта топливно-энергетического комплекса в форме осмотра и профилактической беседы по месту нахождения объекта топливно-энергетического комплекса либо путем использования видео-конференц-связи.</w:t>
            </w:r>
          </w:p>
          <w:p>
            <w:pPr>
              <w:pStyle w:val="Normal"/>
              <w:widowControl w:val="false"/>
              <w:ind w:firstLine="4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shd w:fill="auto" w:val="clear"/>
              </w:rPr>
              <w:t>В ходе профилактического визита уполномоченный представитель субъекта топливно-энергетического комплекса информируется об обязательных требованиях, предъявляемых к обеспечению безопасности осматриваемого объекта топливно-энергетического комплекса в зависимости от присвоенной ему категории опасности, о предмете и содержании плановых (внеплановых) проверок, проводимых в отношении него органом государственного контроля.</w:t>
            </w:r>
          </w:p>
          <w:p>
            <w:pPr>
              <w:pStyle w:val="Normal"/>
              <w:widowControl w:val="false"/>
              <w:ind w:firstLine="4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shd w:fill="auto" w:val="clear"/>
              </w:rPr>
              <w:t>При проведении профилактического визита субъекту топливно-энергетического комплекса не выдается предписание об устранении нарушений обязательных требований, а полученные уполномоченным представителем субъекта топливно-энергетического комплекса разъяснения носят рекомендательный характер.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left="0" w:right="0" w:firstLine="68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shd w:fill="auto" w:val="clear"/>
              </w:rPr>
              <w:t xml:space="preserve">Актуализация паспорта субъектами топливно-энергетического комплекса осуществляется в соответствии с требованиями постановления Правительства РФ от 05.05.2012 № 460 «Об утверждении Правил актуализации паспорта безопасности объекта ТЭК», в том </w:t>
            </w:r>
            <w:r>
              <w:rPr>
                <w:rFonts w:eastAsia="Times New Roman" w:cs="Times New Roman"/>
                <w:color w:val="000000"/>
                <w:kern w:val="0"/>
                <w:sz w:val="26"/>
                <w:szCs w:val="26"/>
                <w:shd w:fill="auto" w:val="clear"/>
                <w:lang w:val="ru-RU" w:eastAsia="ru-RU" w:bidi="ar-SA"/>
              </w:rPr>
              <w:t>ч</w:t>
            </w:r>
            <w:r>
              <w:rPr>
                <w:sz w:val="26"/>
                <w:szCs w:val="26"/>
                <w:shd w:fill="auto" w:val="clear"/>
              </w:rPr>
              <w:t>исле, при изменении компонентов организации охраны и защиты объекта ТЭК.</w:t>
            </w:r>
          </w:p>
          <w:p>
            <w:pPr>
              <w:pStyle w:val="Normal"/>
              <w:widowControl w:val="false"/>
              <w:ind w:firstLine="4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shd w:fill="auto" w:val="clear"/>
              </w:rPr>
              <w:t xml:space="preserve"> </w:t>
            </w:r>
            <w:r>
              <w:rPr>
                <w:sz w:val="26"/>
                <w:szCs w:val="26"/>
                <w:shd w:fill="auto" w:val="clear"/>
              </w:rPr>
              <w:t>Субъект топливно-энергетического комплекса каждые 3 года, начиная с года, следующего за годом утверждения паспорта, уведомляет в письменной форме уполномоченный орган исполнительной власти субъекта Российской Федерации, а также Управление Росгвардии по Ивановской области об отсутствии оснований для проведения актуализации паспорта.</w:t>
            </w:r>
          </w:p>
          <w:p>
            <w:pPr>
              <w:pStyle w:val="Normal"/>
              <w:widowControl w:val="false"/>
              <w:ind w:firstLine="4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shd w:fill="auto" w:val="clear"/>
              </w:rPr>
              <w:t>Кроме этого субъект ТЭК согласно ч. 3 ст. 10 Федерального закона от 21.07.2011 г. № 256-ФЗ «О безопасности объектов топливно-энергетического комплекса» проводит проверку сведений, указанных в ч. 1 ст. 10 указанного Закона, в порядке, установленном Правительством Российской Федерации.</w:t>
            </w:r>
          </w:p>
          <w:p>
            <w:pPr>
              <w:pStyle w:val="Normal"/>
              <w:widowControl w:val="false"/>
              <w:ind w:firstLine="4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shd w:fill="auto" w:val="clear"/>
              </w:rPr>
              <w:t>Постановлением Правительства Российской Федерации от 09.11.2022 г. № 2011, определены Правила проверки субъектом ТЭК сведений, указанных в ст. 10 Закона, в отношении физических лиц, выполняющих работу, непосредственно связанную с обеспечением безопасности объектов ТЭ</w:t>
            </w:r>
            <w:r>
              <w:rPr>
                <w:sz w:val="26"/>
                <w:szCs w:val="26"/>
              </w:rPr>
              <w:t>К.</w:t>
            </w:r>
          </w:p>
          <w:p>
            <w:pPr>
              <w:pStyle w:val="Normal"/>
              <w:widowControl w:val="false"/>
              <w:ind w:firstLine="4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</w:r>
          </w:p>
          <w:p>
            <w:pPr>
              <w:pStyle w:val="Normal"/>
              <w:widowControl w:val="false"/>
              <w:ind w:firstLine="318"/>
              <w:jc w:val="center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  <w:u w:val="single"/>
              </w:rPr>
              <w:t>Наиболее характерные нарушения требований законодательства:</w:t>
            </w:r>
          </w:p>
          <w:p>
            <w:pPr>
              <w:pStyle w:val="Normal"/>
              <w:widowControl w:val="false"/>
              <w:ind w:firstLine="318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</w:r>
          </w:p>
          <w:p>
            <w:pPr>
              <w:pStyle w:val="ListParagraph"/>
              <w:widowControl w:val="false"/>
              <w:numPr>
                <w:ilvl w:val="0"/>
                <w:numId w:val="2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 осуществляется актуализация паспорта безопасности объекта топливно-энергетического комплекса.</w:t>
            </w:r>
          </w:p>
          <w:p>
            <w:pPr>
              <w:pStyle w:val="ListParagraph"/>
              <w:widowControl w:val="false"/>
              <w:numPr>
                <w:ilvl w:val="0"/>
                <w:numId w:val="2"/>
              </w:numPr>
              <w:rPr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Основное ограждение отсутствует либо не отвечает предъявляемым требованиям.</w:t>
            </w:r>
          </w:p>
          <w:p>
            <w:pPr>
              <w:pStyle w:val="ListParagraph"/>
              <w:widowControl w:val="false"/>
              <w:numPr>
                <w:ilvl w:val="0"/>
                <w:numId w:val="2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Верхнее дополнительное ограждение отсутствует.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Отсутствует нижнее дополнительное ограждение.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rPr/>
            </w:pPr>
            <w:r>
              <w:rPr>
                <w:rStyle w:val="BodyTextChar"/>
                <w:rFonts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u w:val="none"/>
                <w:shd w:fill="auto" w:val="clear"/>
                <w:lang w:val="ru-RU" w:eastAsia="ru-RU" w:bidi="ar-SA"/>
              </w:rPr>
              <w:t xml:space="preserve">Отсутствуют </w:t>
            </w:r>
            <w:r>
              <w:rPr>
                <w:rStyle w:val="BodyTextChar"/>
                <w:rFonts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u w:val="none"/>
                <w:shd w:fill="auto" w:val="clear"/>
                <w:lang w:val="ru-RU" w:eastAsia="en-US" w:bidi="ar-SA"/>
              </w:rPr>
              <w:t>противотаранные устройства</w:t>
            </w:r>
            <w:r>
              <w:rPr>
                <w:rStyle w:val="BodyTextChar"/>
                <w:rFonts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u w:val="none"/>
                <w:shd w:fill="auto" w:val="clear"/>
                <w:lang w:val="ru-RU" w:eastAsia="ru-RU" w:bidi="ar-SA"/>
              </w:rPr>
              <w:t xml:space="preserve"> </w:t>
            </w:r>
            <w:r>
              <w:rPr>
                <w:rStyle w:val="BodyTextChar"/>
                <w:rFonts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u w:val="none"/>
                <w:shd w:fill="auto" w:val="clear"/>
                <w:lang w:val="ru-RU" w:eastAsia="en-US" w:bidi="ar-SA"/>
              </w:rPr>
              <w:t>на тараноопасных направлениях периметра объекта ТЭК.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 оборудована запретная зона.</w:t>
            </w:r>
          </w:p>
          <w:p>
            <w:pPr>
              <w:pStyle w:val="ListParagraph"/>
              <w:widowControl w:val="false"/>
              <w:numPr>
                <w:ilvl w:val="0"/>
                <w:numId w:val="2"/>
              </w:numPr>
              <w:rPr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>Отсутствуют предупредительные, разграничительные и запрещающие знаки.</w:t>
            </w:r>
          </w:p>
          <w:p>
            <w:pPr>
              <w:pStyle w:val="ListParagraph"/>
              <w:widowControl w:val="false"/>
              <w:numPr>
                <w:ilvl w:val="0"/>
                <w:numId w:val="2"/>
              </w:numPr>
              <w:rPr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О</w:t>
            </w:r>
            <w:r>
              <w:rPr>
                <w:rFonts w:eastAsia="Calibri"/>
                <w:sz w:val="26"/>
                <w:szCs w:val="26"/>
              </w:rPr>
              <w:t>тсутствует система контроля и управления доступа.</w:t>
            </w:r>
          </w:p>
          <w:p>
            <w:pPr>
              <w:pStyle w:val="ListParagraph"/>
              <w:widowControl w:val="false"/>
              <w:numPr>
                <w:ilvl w:val="0"/>
                <w:numId w:val="2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Технические средства досмотра отсутствуют.</w:t>
            </w:r>
          </w:p>
          <w:p>
            <w:pPr>
              <w:pStyle w:val="ListParagraph"/>
              <w:widowControl w:val="false"/>
              <w:numPr>
                <w:ilvl w:val="0"/>
                <w:numId w:val="2"/>
              </w:numPr>
              <w:rPr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Отсутствует либо не в полном объеме обеспечено освещение вдоль периметра.</w:t>
            </w:r>
          </w:p>
          <w:p>
            <w:pPr>
              <w:pStyle w:val="ListParagraph"/>
              <w:widowControl w:val="false"/>
              <w:numPr>
                <w:ilvl w:val="0"/>
                <w:numId w:val="2"/>
              </w:numPr>
              <w:rPr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О</w:t>
            </w:r>
            <w:r>
              <w:rPr>
                <w:rFonts w:eastAsia="Calibri"/>
                <w:sz w:val="26"/>
                <w:szCs w:val="26"/>
              </w:rPr>
              <w:t>тсутствует второй независимого источника электропитания.</w:t>
            </w:r>
          </w:p>
          <w:p>
            <w:pPr>
              <w:pStyle w:val="ListParagraph"/>
              <w:widowControl w:val="false"/>
              <w:numPr>
                <w:ilvl w:val="0"/>
                <w:numId w:val="2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Досмотровая площадка не соответствует предъявляемым требованиям.</w:t>
            </w:r>
          </w:p>
          <w:p>
            <w:pPr>
              <w:pStyle w:val="ListParagraph"/>
              <w:widowControl w:val="false"/>
              <w:numPr>
                <w:ilvl w:val="0"/>
                <w:numId w:val="2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Отсутствует противотаранное заграждение.</w:t>
            </w:r>
          </w:p>
          <w:p>
            <w:pPr>
              <w:pStyle w:val="ListParagraph"/>
              <w:widowControl w:val="false"/>
              <w:numPr>
                <w:ilvl w:val="0"/>
                <w:numId w:val="2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</w:t>
            </w:r>
            <w:r>
              <w:rPr>
                <w:rFonts w:eastAsia="Calibri"/>
                <w:sz w:val="26"/>
                <w:szCs w:val="26"/>
              </w:rPr>
              <w:t>тсутствуют средства принудительного снижения скорости.</w:t>
            </w:r>
          </w:p>
          <w:p>
            <w:pPr>
              <w:pStyle w:val="ListParagraph"/>
              <w:widowControl w:val="false"/>
              <w:numPr>
                <w:ilvl w:val="0"/>
                <w:numId w:val="2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Отсутствует охранная сигнализация периметра.</w:t>
            </w:r>
          </w:p>
          <w:p>
            <w:pPr>
              <w:pStyle w:val="ListParagraph"/>
              <w:widowControl w:val="false"/>
              <w:numPr>
                <w:ilvl w:val="0"/>
                <w:numId w:val="2"/>
              </w:numPr>
              <w:rPr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>Отсутствует стационарная кнопка для подачи извещения о тревоге с выводом на пульт дежурного органа внутренних дел.</w:t>
            </w:r>
          </w:p>
          <w:p>
            <w:pPr>
              <w:pStyle w:val="ListParagraph"/>
              <w:widowControl w:val="false"/>
              <w:numPr>
                <w:ilvl w:val="0"/>
                <w:numId w:val="2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Система оповещения отсутствует.</w:t>
            </w:r>
          </w:p>
          <w:p>
            <w:pPr>
              <w:pStyle w:val="ListParagraph"/>
              <w:widowControl w:val="false"/>
              <w:numPr>
                <w:ilvl w:val="0"/>
                <w:numId w:val="2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Отсутствует система охранная телевизионная либо количество камер не обеспечивает визуальный контроль за состоянием периметра.</w:t>
            </w:r>
          </w:p>
        </w:tc>
      </w:tr>
    </w:tbl>
    <w:p>
      <w:pPr>
        <w:pStyle w:val="Normal"/>
        <w:tabs>
          <w:tab w:val="clear" w:pos="708"/>
          <w:tab w:val="left" w:pos="5697" w:leader="none"/>
        </w:tabs>
        <w:ind w:firstLine="709"/>
        <w:jc w:val="center"/>
        <w:rPr/>
      </w:pPr>
      <w:r>
        <w:rPr/>
      </w:r>
    </w:p>
    <w:sectPr>
      <w:type w:val="nextPage"/>
      <w:pgSz w:w="11906" w:h="16838"/>
      <w:pgMar w:left="993" w:right="850" w:gutter="0" w:header="0" w:top="993" w:footer="0" w:bottom="426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Arial">
    <w:charset w:val="01"/>
    <w:family w:val="roman"/>
    <w:pitch w:val="default"/>
  </w:font>
  <w:font w:name="PT Sans"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sz w:val="26"/>
        <w:szCs w:val="26"/>
        <w:rFonts w:ascii="Times New Roman" w:hAnsi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6"/>
        <w:rFonts w:eastAsia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uiPriority="10" w:semiHidden="0" w:unhideWhenUsed="0" w:qFormat="1"/>
    <w:lsdException w:name="Default Paragraph Font" w:uiPriority="1"/>
    <w:lsdException w:name="Body Text Indent" w:uiPriority="0"/>
    <w:lsdException w:name="Subtitle" w:uiPriority="11" w:semiHidden="0" w:unhideWhenUsed="0" w:qFormat="1"/>
    <w:lsdException w:name="Body Text Indent 2" w:uiPriority="0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d81f88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1" w:customStyle="1">
    <w:name w:val="Обычный1 Знак"/>
    <w:qFormat/>
    <w:rsid w:val="00d81f88"/>
    <w:rPr>
      <w:rFonts w:ascii="Arial" w:hAnsi="Arial" w:eastAsia="Times New Roman" w:cs="Times New Roman"/>
      <w:sz w:val="24"/>
      <w:szCs w:val="20"/>
      <w:lang w:eastAsia="ru-RU"/>
    </w:rPr>
  </w:style>
  <w:style w:type="character" w:styleId="Style14" w:customStyle="1">
    <w:name w:val="Основной текст с отступом Знак"/>
    <w:basedOn w:val="DefaultParagraphFont"/>
    <w:qFormat/>
    <w:rsid w:val="001c6f22"/>
    <w:rPr>
      <w:rFonts w:ascii="Times New Roman" w:hAnsi="Times New Roman" w:eastAsia="Times New Roman" w:cs="Times New Roman"/>
      <w:sz w:val="24"/>
      <w:szCs w:val="20"/>
      <w:lang w:eastAsia="ru-RU"/>
    </w:rPr>
  </w:style>
  <w:style w:type="character" w:styleId="2" w:customStyle="1">
    <w:name w:val="Основной текст с отступом 2 Знак"/>
    <w:basedOn w:val="DefaultParagraphFont"/>
    <w:qFormat/>
    <w:rsid w:val="001c6f22"/>
    <w:rPr>
      <w:rFonts w:ascii="Times New Roman" w:hAnsi="Times New Roman" w:eastAsia="Times New Roman" w:cs="Times New Roman"/>
      <w:sz w:val="24"/>
      <w:szCs w:val="24"/>
    </w:rPr>
  </w:style>
  <w:style w:type="character" w:styleId="Style15">
    <w:name w:val="Символ сноски"/>
    <w:qFormat/>
    <w:rPr>
      <w:vertAlign w:val="superscript"/>
    </w:rPr>
  </w:style>
  <w:style w:type="character" w:styleId="Style16">
    <w:name w:val="Footnote Reference"/>
    <w:rPr>
      <w:vertAlign w:val="superscript"/>
    </w:rPr>
  </w:style>
  <w:style w:type="character" w:styleId="FootnoteCharacters">
    <w:name w:val="Footnote Characters"/>
    <w:qFormat/>
    <w:rsid w:val="001c6f22"/>
    <w:rPr>
      <w:vertAlign w:val="superscript"/>
    </w:rPr>
  </w:style>
  <w:style w:type="character" w:styleId="Style17" w:customStyle="1">
    <w:name w:val="Текст сноски Знак"/>
    <w:basedOn w:val="DefaultParagraphFont"/>
    <w:qFormat/>
    <w:rsid w:val="001c6f22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8" w:customStyle="1">
    <w:name w:val="Гипертекстовая ссылка"/>
    <w:qFormat/>
    <w:rsid w:val="001c6f22"/>
    <w:rPr>
      <w:b/>
      <w:bCs/>
      <w:color w:val="008000"/>
      <w:sz w:val="20"/>
      <w:szCs w:val="20"/>
      <w:u w:val="single"/>
    </w:rPr>
  </w:style>
  <w:style w:type="character" w:styleId="3" w:customStyle="1">
    <w:name w:val="Заголовок №3_"/>
    <w:qFormat/>
    <w:rsid w:val="004f56e7"/>
    <w:rPr>
      <w:sz w:val="26"/>
      <w:szCs w:val="26"/>
      <w:shd w:fill="FFFFFF" w:val="clear"/>
    </w:rPr>
  </w:style>
  <w:style w:type="character" w:styleId="Style19" w:customStyle="1">
    <w:name w:val="Основной текст Знак"/>
    <w:basedOn w:val="DefaultParagraphFont"/>
    <w:uiPriority w:val="99"/>
    <w:qFormat/>
    <w:rsid w:val="005f039b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31" w:customStyle="1">
    <w:name w:val="Оглавление 3 Знак"/>
    <w:uiPriority w:val="39"/>
    <w:qFormat/>
    <w:rsid w:val="00a1098d"/>
    <w:rPr>
      <w:rFonts w:ascii="Times New Roman" w:hAnsi="Times New Roman" w:eastAsia="Times New Roman" w:cs="Times New Roman"/>
      <w:color w:val="000000"/>
      <w:sz w:val="20"/>
      <w:szCs w:val="20"/>
      <w:lang w:eastAsia="ru-RU"/>
    </w:rPr>
  </w:style>
  <w:style w:type="character" w:styleId="-">
    <w:name w:val="Hyperlink"/>
    <w:rPr>
      <w:color w:val="000080"/>
      <w:u w:val="single"/>
      <w:lang w:val="zxx" w:eastAsia="zxx" w:bidi="zxx"/>
    </w:rPr>
  </w:style>
  <w:style w:type="character" w:styleId="BodyTextChar">
    <w:name w:val="Body Text Char"/>
    <w:qFormat/>
    <w:rPr>
      <w:rFonts w:ascii="Times New Roman" w:hAnsi="Times New Roman" w:cs="Times New Roman"/>
      <w:sz w:val="26"/>
    </w:rPr>
  </w:style>
  <w:style w:type="paragraph" w:styleId="Style20">
    <w:name w:val="Заголовок"/>
    <w:basedOn w:val="Normal"/>
    <w:next w:val="Style21"/>
    <w:qFormat/>
    <w:pPr>
      <w:keepNext w:val="true"/>
      <w:spacing w:before="240" w:after="120"/>
    </w:pPr>
    <w:rPr>
      <w:rFonts w:ascii="PT Sans" w:hAnsi="PT Sans" w:eastAsia="Tahoma" w:cs="Noto Sans Devanagari"/>
      <w:sz w:val="28"/>
      <w:szCs w:val="28"/>
    </w:rPr>
  </w:style>
  <w:style w:type="paragraph" w:styleId="Style21">
    <w:name w:val="Body Text"/>
    <w:basedOn w:val="Normal"/>
    <w:uiPriority w:val="99"/>
    <w:unhideWhenUsed/>
    <w:rsid w:val="005f039b"/>
    <w:pPr>
      <w:spacing w:before="0" w:after="120"/>
    </w:pPr>
    <w:rPr/>
  </w:style>
  <w:style w:type="paragraph" w:styleId="Style22">
    <w:name w:val="List"/>
    <w:basedOn w:val="Style21"/>
    <w:pPr/>
    <w:rPr>
      <w:rFonts w:ascii="PT Sans" w:hAnsi="PT Sans" w:cs="Noto Sans Devanagari"/>
    </w:rPr>
  </w:style>
  <w:style w:type="paragraph" w:styleId="Style23">
    <w:name w:val="Caption"/>
    <w:basedOn w:val="Normal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styleId="Style24">
    <w:name w:val="Указатель"/>
    <w:basedOn w:val="Normal"/>
    <w:qFormat/>
    <w:pPr>
      <w:suppressLineNumbers/>
    </w:pPr>
    <w:rPr>
      <w:rFonts w:ascii="PT Sans" w:hAnsi="PT Sans" w:cs="Noto Sans Devanagari"/>
    </w:rPr>
  </w:style>
  <w:style w:type="paragraph" w:styleId="NoSpacing">
    <w:name w:val="No Spacing"/>
    <w:uiPriority w:val="1"/>
    <w:qFormat/>
    <w:rsid w:val="00d81f88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Times New Roman" w:cs="Times New Roman" w:asciiTheme="minorHAnsi" w:hAnsiTheme="minorHAnsi"/>
      <w:color w:val="auto"/>
      <w:kern w:val="0"/>
      <w:sz w:val="20"/>
      <w:szCs w:val="22"/>
      <w:lang w:val="ru-RU" w:eastAsia="ru-RU" w:bidi="ar-SA"/>
    </w:rPr>
  </w:style>
  <w:style w:type="paragraph" w:styleId="11" w:customStyle="1">
    <w:name w:val="Обычный1"/>
    <w:qFormat/>
    <w:rsid w:val="00d81f88"/>
    <w:pPr>
      <w:widowControl w:val="false"/>
      <w:suppressAutoHyphens w:val="true"/>
      <w:bidi w:val="0"/>
      <w:spacing w:lineRule="auto" w:line="240" w:before="0" w:after="0"/>
      <w:jc w:val="left"/>
    </w:pPr>
    <w:rPr>
      <w:rFonts w:ascii="Arial" w:hAnsi="Arial" w:eastAsia="Times New Roman" w:cs="Times New Roman"/>
      <w:color w:val="auto"/>
      <w:kern w:val="0"/>
      <w:sz w:val="24"/>
      <w:szCs w:val="20"/>
      <w:lang w:val="ru-RU" w:eastAsia="ru-RU" w:bidi="ar-SA"/>
    </w:rPr>
  </w:style>
  <w:style w:type="paragraph" w:styleId="Style25">
    <w:name w:val="Body Text Indent"/>
    <w:basedOn w:val="Normal"/>
    <w:rsid w:val="001c6f22"/>
    <w:pPr>
      <w:ind w:firstLine="540"/>
      <w:jc w:val="both"/>
    </w:pPr>
    <w:rPr>
      <w:sz w:val="24"/>
    </w:rPr>
  </w:style>
  <w:style w:type="paragraph" w:styleId="BodyTextIndent2">
    <w:name w:val="Body Text Indent 2"/>
    <w:basedOn w:val="Normal"/>
    <w:unhideWhenUsed/>
    <w:qFormat/>
    <w:rsid w:val="001c6f22"/>
    <w:pPr>
      <w:spacing w:lineRule="auto" w:line="480" w:before="0" w:after="120"/>
      <w:ind w:left="283" w:hanging="0"/>
    </w:pPr>
    <w:rPr>
      <w:sz w:val="24"/>
      <w:szCs w:val="24"/>
    </w:rPr>
  </w:style>
  <w:style w:type="paragraph" w:styleId="Style26">
    <w:name w:val="Footnote Text"/>
    <w:basedOn w:val="Normal"/>
    <w:rsid w:val="001c6f22"/>
    <w:pPr/>
    <w:rPr/>
  </w:style>
  <w:style w:type="paragraph" w:styleId="21" w:customStyle="1">
    <w:name w:val="Основной текст2"/>
    <w:basedOn w:val="Normal"/>
    <w:qFormat/>
    <w:rsid w:val="001c6f22"/>
    <w:pPr>
      <w:widowControl w:val="false"/>
      <w:shd w:val="clear" w:color="auto" w:fill="FFFFFF"/>
      <w:spacing w:lineRule="exact" w:line="216" w:before="0" w:after="240"/>
      <w:jc w:val="center"/>
    </w:pPr>
    <w:rPr>
      <w:color w:val="000000"/>
      <w:sz w:val="19"/>
      <w:szCs w:val="19"/>
      <w:lang w:bidi="ru-RU"/>
    </w:rPr>
  </w:style>
  <w:style w:type="paragraph" w:styleId="32" w:customStyle="1">
    <w:name w:val="Заголовок №3"/>
    <w:basedOn w:val="Normal"/>
    <w:link w:val="3"/>
    <w:qFormat/>
    <w:rsid w:val="004f56e7"/>
    <w:pPr>
      <w:shd w:val="clear" w:color="auto" w:fill="FFFFFF"/>
      <w:spacing w:lineRule="auto" w:line="240" w:before="0" w:after="300"/>
      <w:ind w:hanging="420"/>
      <w:outlineLvl w:val="2"/>
    </w:pPr>
    <w:rPr>
      <w:rFonts w:ascii="Calibri" w:hAnsi="Calibri" w:eastAsia="Calibri" w:cs="" w:asciiTheme="minorHAnsi" w:cstheme="minorBidi" w:eastAsiaTheme="minorHAnsi" w:hAnsiTheme="minorHAnsi"/>
      <w:sz w:val="26"/>
      <w:szCs w:val="26"/>
      <w:lang w:eastAsia="en-US"/>
    </w:rPr>
  </w:style>
  <w:style w:type="paragraph" w:styleId="ConsPlusNormal" w:customStyle="1">
    <w:name w:val="ConsPlusNormal"/>
    <w:qFormat/>
    <w:rsid w:val="00d36abc"/>
    <w:pPr>
      <w:widowControl w:val="false"/>
      <w:suppressAutoHyphens w:val="true"/>
      <w:bidi w:val="0"/>
      <w:spacing w:lineRule="auto" w:line="240" w:before="0" w:after="0"/>
      <w:ind w:firstLine="720"/>
      <w:jc w:val="left"/>
    </w:pPr>
    <w:rPr>
      <w:rFonts w:ascii="Arial" w:hAnsi="Arial" w:eastAsia="Times New Roman" w:cs="Arial"/>
      <w:color w:val="auto"/>
      <w:kern w:val="0"/>
      <w:sz w:val="20"/>
      <w:szCs w:val="20"/>
      <w:lang w:val="ru-RU" w:eastAsia="ru-RU" w:bidi="ar-SA"/>
    </w:rPr>
  </w:style>
  <w:style w:type="paragraph" w:styleId="ConsPlusTitle" w:customStyle="1">
    <w:name w:val="ConsPlusTitle"/>
    <w:qFormat/>
    <w:rsid w:val="00d36abc"/>
    <w:pPr>
      <w:widowControl w:val="false"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b/>
      <w:color w:val="auto"/>
      <w:kern w:val="0"/>
      <w:sz w:val="24"/>
      <w:szCs w:val="20"/>
      <w:lang w:val="ru-RU" w:eastAsia="ru-RU" w:bidi="ar-SA"/>
    </w:rPr>
  </w:style>
  <w:style w:type="paragraph" w:styleId="ListParagraph">
    <w:name w:val="List Paragraph"/>
    <w:basedOn w:val="Normal"/>
    <w:uiPriority w:val="34"/>
    <w:qFormat/>
    <w:rsid w:val="00d36abc"/>
    <w:pPr>
      <w:widowControl w:val="false"/>
      <w:spacing w:before="0" w:after="0"/>
      <w:ind w:left="720" w:firstLine="300"/>
      <w:contextualSpacing/>
      <w:jc w:val="both"/>
    </w:pPr>
    <w:rPr/>
  </w:style>
  <w:style w:type="paragraph" w:styleId="12" w:customStyle="1">
    <w:name w:val="Абзац списка1"/>
    <w:basedOn w:val="Normal"/>
    <w:qFormat/>
    <w:rsid w:val="005f039b"/>
    <w:pPr>
      <w:spacing w:lineRule="auto" w:line="276" w:before="0" w:after="200"/>
      <w:ind w:left="720" w:hanging="0"/>
    </w:pPr>
    <w:rPr>
      <w:rFonts w:ascii="Calibri" w:hAnsi="Calibri"/>
      <w:sz w:val="22"/>
      <w:szCs w:val="22"/>
      <w:lang w:eastAsia="en-US"/>
    </w:rPr>
  </w:style>
  <w:style w:type="paragraph" w:styleId="33">
    <w:name w:val="TOC 3"/>
    <w:uiPriority w:val="39"/>
    <w:rsid w:val="00a1098d"/>
    <w:pPr>
      <w:widowControl/>
      <w:suppressAutoHyphens w:val="true"/>
      <w:bidi w:val="0"/>
      <w:spacing w:lineRule="auto" w:line="240" w:before="0" w:after="0"/>
      <w:ind w:left="400" w:hanging="0"/>
      <w:jc w:val="left"/>
    </w:pPr>
    <w:rPr>
      <w:rFonts w:ascii="Times New Roman" w:hAnsi="Times New Roman" w:eastAsia="Times New Roman" w:cs="Times New Roman"/>
      <w:color w:val="000000"/>
      <w:kern w:val="0"/>
      <w:sz w:val="20"/>
      <w:szCs w:val="20"/>
      <w:lang w:val="ru-RU" w:eastAsia="ru-RU" w:bidi="ar-SA"/>
    </w:rPr>
  </w:style>
  <w:style w:type="paragraph" w:styleId="Style27">
    <w:name w:val="Содержимое таблицы"/>
    <w:basedOn w:val="Normal"/>
    <w:qFormat/>
    <w:pPr>
      <w:suppressLineNumbers/>
    </w:pPr>
    <w:rPr/>
  </w:style>
  <w:style w:type="paragraph" w:styleId="Style28">
    <w:name w:val="Заголовок таблицы"/>
    <w:basedOn w:val="Style27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oleObject" Target="embeddings/oleObject1.bin"/><Relationship Id="rId3" Type="http://schemas.openxmlformats.org/officeDocument/2006/relationships/image" Target="media/image1.wmf"/><Relationship Id="rId4" Type="http://schemas.openxmlformats.org/officeDocument/2006/relationships/hyperlink" Target="consultantplus://offline/ref=85159FBF74CFE360B3A342D031BBD51BFED7734A95EA76CE04D09211C4y6O9I" TargetMode="Externa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581</TotalTime>
  <Application>LibreOffice/7.5.6.2$Linux_X86_64 LibreOffice_project/50$Build-2</Application>
  <AppVersion>15.0000</AppVersion>
  <Pages>5</Pages>
  <Words>1427</Words>
  <Characters>11685</Characters>
  <CharactersWithSpaces>13017</CharactersWithSpaces>
  <Paragraphs>68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2019-12-16T13:37:00Z</dcterms:created>
  <dc:creator>Таланкин</dc:creator>
  <dc:description/>
  <dc:language>ru-RU</dc:language>
  <cp:lastModifiedBy/>
  <dcterms:modified xsi:type="dcterms:W3CDTF">2024-12-23T11:19:20Z</dcterms:modified>
  <cp:revision>18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